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6CA47" w14:textId="257E7B6C" w:rsidR="008A1CA0" w:rsidRDefault="007E7392" w:rsidP="008A1CA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COLLABORATION DISCUSSION GROUP</w:t>
      </w:r>
    </w:p>
    <w:p w14:paraId="6D0DDC6C" w14:textId="77777777" w:rsidR="007E7392" w:rsidRDefault="007E7392" w:rsidP="007E7392">
      <w:r>
        <w:t xml:space="preserve">Facilitator: Marcia </w:t>
      </w:r>
      <w:proofErr w:type="spellStart"/>
      <w:r>
        <w:t>Mardis</w:t>
      </w:r>
      <w:proofErr w:type="spellEnd"/>
    </w:p>
    <w:p w14:paraId="47CE0329" w14:textId="77777777" w:rsidR="007E7392" w:rsidRDefault="007E7392" w:rsidP="007E7392">
      <w:r>
        <w:t>Location: Century C</w:t>
      </w:r>
    </w:p>
    <w:p w14:paraId="455C1356" w14:textId="77777777" w:rsidR="007E7392" w:rsidRDefault="007E7392" w:rsidP="007E7392"/>
    <w:p w14:paraId="785EA31B" w14:textId="77777777" w:rsidR="007E7392" w:rsidRDefault="007E7392" w:rsidP="007E7392">
      <w:hyperlink r:id="rId9">
        <w:r>
          <w:rPr>
            <w:color w:val="1155CC"/>
            <w:u w:val="single"/>
          </w:rPr>
          <w:t>https://docs.google.com/document/d/1bIFhqEN5w60Z7GIlwYbMwCkgc14tb-AFX0GZiFkOIdk/edit</w:t>
        </w:r>
      </w:hyperlink>
    </w:p>
    <w:p w14:paraId="61A42CFB" w14:textId="77777777" w:rsidR="007E7392" w:rsidRDefault="007E7392" w:rsidP="007E7392">
      <w:bookmarkStart w:id="0" w:name="_GoBack"/>
      <w:bookmarkEnd w:id="0"/>
    </w:p>
    <w:p w14:paraId="725E81DB" w14:textId="77777777" w:rsidR="007E7392" w:rsidRDefault="007E7392" w:rsidP="007E7392">
      <w:hyperlink r:id="rId10">
        <w:r>
          <w:rPr>
            <w:rFonts w:ascii="Verdana" w:eastAsia="Verdana" w:hAnsi="Verdana" w:cs="Verdana"/>
            <w:b/>
            <w:color w:val="1155CC"/>
            <w:sz w:val="20"/>
            <w:highlight w:val="white"/>
            <w:u w:val="single"/>
          </w:rPr>
          <w:t>http://tinyurl.com/summit2-collaboration</w:t>
        </w:r>
      </w:hyperlink>
    </w:p>
    <w:p w14:paraId="2EA8A53F" w14:textId="77777777" w:rsidR="007E7392" w:rsidRDefault="007E7392" w:rsidP="007E7392"/>
    <w:p w14:paraId="16D830F0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-Interaction with iDigBio</w:t>
      </w:r>
    </w:p>
    <w:p w14:paraId="7EDA32DD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-Networks between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</w:p>
    <w:p w14:paraId="13DE33A9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-Lessons learned, best practices, and avoiding duplication of effort</w:t>
      </w:r>
    </w:p>
    <w:p w14:paraId="4E70991C" w14:textId="77777777" w:rsidR="007E7392" w:rsidRDefault="007E7392" w:rsidP="007E7392"/>
    <w:p w14:paraId="50AEA249" w14:textId="77777777" w:rsidR="007E7392" w:rsidRDefault="007E7392" w:rsidP="007E7392">
      <w:r>
        <w:rPr>
          <w:rFonts w:ascii="Verdana" w:eastAsia="Verdana" w:hAnsi="Verdana" w:cs="Verdana"/>
          <w:b/>
          <w:sz w:val="20"/>
          <w:highlight w:val="white"/>
        </w:rPr>
        <w:t>Interaction with iDigBio</w:t>
      </w:r>
    </w:p>
    <w:p w14:paraId="56949F90" w14:textId="77777777" w:rsidR="007E7392" w:rsidRDefault="007E7392" w:rsidP="007E7392"/>
    <w:p w14:paraId="1EBA375F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Chris: How to share community resources with iDigBio, i.e. database for taxonomic nomenclature,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georeferencing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databases, to avoid duplication of effort.</w:t>
      </w:r>
    </w:p>
    <w:p w14:paraId="68EB0C1B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Database that recognizes taxonomic names and relates possible collection events</w:t>
      </w:r>
    </w:p>
    <w:p w14:paraId="1C3C446C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Taxonomic names resolution service- Anyone can act as authority and add names </w:t>
      </w:r>
    </w:p>
    <w:p w14:paraId="4F19AA31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 xml:space="preserve">- Used in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iPlant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project- </w:t>
      </w:r>
    </w:p>
    <w:p w14:paraId="26A2F42B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Vert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community- no common database for double checking names </w:t>
      </w:r>
    </w:p>
    <w:p w14:paraId="547DCB58" w14:textId="77777777" w:rsidR="007E7392" w:rsidRDefault="007E7392" w:rsidP="007E7392"/>
    <w:p w14:paraId="78EED1DF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Greg: iDigBio and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ITIS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purpose for storing names are very different. We can get names into iDigBio and then provide to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ITIS</w:t>
      </w:r>
      <w:proofErr w:type="spellEnd"/>
      <w:r>
        <w:rPr>
          <w:rFonts w:ascii="Verdana" w:eastAsia="Verdana" w:hAnsi="Verdana" w:cs="Verdana"/>
          <w:sz w:val="20"/>
          <w:highlight w:val="white"/>
        </w:rPr>
        <w:t>.</w:t>
      </w:r>
    </w:p>
    <w:p w14:paraId="7CF64F38" w14:textId="77777777" w:rsidR="007E7392" w:rsidRDefault="007E7392" w:rsidP="007E7392"/>
    <w:p w14:paraId="104A1740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Name checks and quality assurance necessary for entering in taxonomic data. </w:t>
      </w:r>
    </w:p>
    <w:p w14:paraId="056AA821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Judy: Minimum for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is that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have specimens under control, hoping that by exposing the names, we would have control over names eventually</w:t>
      </w:r>
    </w:p>
    <w:p w14:paraId="67C09E1A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Who to initiate and maintain database-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or iDigBio</w:t>
      </w:r>
    </w:p>
    <w:p w14:paraId="637E3A6A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David Bloom: We have lots of locality names that are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georeferenced</w:t>
      </w:r>
      <w:proofErr w:type="spellEnd"/>
      <w:r>
        <w:rPr>
          <w:rFonts w:ascii="Verdana" w:eastAsia="Verdana" w:hAnsi="Verdana" w:cs="Verdana"/>
          <w:sz w:val="20"/>
          <w:highlight w:val="white"/>
        </w:rPr>
        <w:t>.</w:t>
      </w:r>
    </w:p>
    <w:p w14:paraId="7C93CEB8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lastRenderedPageBreak/>
        <w:t>- Jim: Specify- ability to share collecting events. There certainly is interest in the entomology community.</w:t>
      </w:r>
    </w:p>
    <w:p w14:paraId="4D6E5D5B" w14:textId="77777777" w:rsidR="007E7392" w:rsidRDefault="007E7392" w:rsidP="007E7392"/>
    <w:p w14:paraId="1E005749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Is someone keeping a collector authority file?</w:t>
      </w:r>
    </w:p>
    <w:p w14:paraId="0E213C3A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>- Deb/Charles Davis: Harvard Botanist database (</w:t>
      </w:r>
      <w:hyperlink r:id="rId11">
        <w:r>
          <w:rPr>
            <w:rFonts w:ascii="Verdana" w:eastAsia="Verdana" w:hAnsi="Verdana" w:cs="Verdana"/>
            <w:color w:val="1155CC"/>
            <w:sz w:val="20"/>
            <w:highlight w:val="white"/>
            <w:u w:val="single"/>
          </w:rPr>
          <w:t>http://kiki.huh.harvard.edu/databases/botanist_index.html</w:t>
        </w:r>
      </w:hyperlink>
      <w:r>
        <w:rPr>
          <w:rFonts w:ascii="Verdana" w:eastAsia="Verdana" w:hAnsi="Verdana" w:cs="Verdana"/>
          <w:sz w:val="20"/>
          <w:highlight w:val="white"/>
        </w:rPr>
        <w:t>), up to date regularly- model for iDigBio?</w:t>
      </w:r>
    </w:p>
    <w:p w14:paraId="2C103318" w14:textId="77777777" w:rsidR="007E7392" w:rsidRDefault="007E7392" w:rsidP="007E7392"/>
    <w:p w14:paraId="0484F823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Jim: Promote web services that allow data to flow in both directions.</w:t>
      </w:r>
    </w:p>
    <w:p w14:paraId="7C301713" w14:textId="77777777" w:rsidR="007E7392" w:rsidRDefault="007E7392" w:rsidP="007E7392"/>
    <w:p w14:paraId="5BF2353A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</w:t>
      </w:r>
      <w:proofErr w:type="gramStart"/>
      <w:r>
        <w:rPr>
          <w:rFonts w:ascii="Verdana" w:eastAsia="Verdana" w:hAnsi="Verdana" w:cs="Verdana"/>
          <w:sz w:val="20"/>
          <w:highlight w:val="white"/>
        </w:rPr>
        <w:t>iDigBio</w:t>
      </w:r>
      <w:proofErr w:type="gramEnd"/>
      <w:r>
        <w:rPr>
          <w:rFonts w:ascii="Verdana" w:eastAsia="Verdana" w:hAnsi="Verdana" w:cs="Verdana"/>
          <w:sz w:val="20"/>
          <w:highlight w:val="white"/>
        </w:rPr>
        <w:t xml:space="preserve"> collaboration to develop a web service to help with taxonomy, species names,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georeferencing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points.  </w:t>
      </w:r>
    </w:p>
    <w:p w14:paraId="75F0DFB0" w14:textId="77777777" w:rsidR="007E7392" w:rsidRDefault="007E7392" w:rsidP="007E7392"/>
    <w:p w14:paraId="34C2592D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New England plants: two potential approaches: John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Cartese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names vs. USDA names</w:t>
      </w:r>
    </w:p>
    <w:p w14:paraId="1EE3DF1A" w14:textId="77777777" w:rsidR="007E7392" w:rsidRDefault="007E7392" w:rsidP="007E7392"/>
    <w:p w14:paraId="26F2B46D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Judy: iDigBio is charged with assessing services that are available out there.</w:t>
      </w:r>
    </w:p>
    <w:p w14:paraId="4800741E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Greg: it would make sense to ingest Harvard data (</w:t>
      </w:r>
      <w:hyperlink r:id="rId12">
        <w:r>
          <w:rPr>
            <w:rFonts w:ascii="Verdana" w:eastAsia="Verdana" w:hAnsi="Verdana" w:cs="Verdana"/>
            <w:color w:val="1155CC"/>
            <w:sz w:val="20"/>
            <w:highlight w:val="white"/>
            <w:u w:val="single"/>
          </w:rPr>
          <w:t>http://www.huh.harvard.edu/</w:t>
        </w:r>
      </w:hyperlink>
      <w:r>
        <w:rPr>
          <w:rFonts w:ascii="Verdana" w:eastAsia="Verdana" w:hAnsi="Verdana" w:cs="Verdana"/>
          <w:sz w:val="20"/>
          <w:highlight w:val="white"/>
        </w:rPr>
        <w:t>).</w:t>
      </w:r>
    </w:p>
    <w:p w14:paraId="5473776B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Why can’t iDigBio be the central location? Greg: Make it provider vetted, not iDigBio vetted.</w:t>
      </w:r>
    </w:p>
    <w:p w14:paraId="6CB91983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Larry Page: Do not want iDigBio be the source of wrong information. Need to indicate the type of authority of the source.</w:t>
      </w:r>
    </w:p>
    <w:p w14:paraId="1414A809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Greg: Wikipedia style. Let the community decide what is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right.We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are clear about having to ingest taxonomic names from different sources. How we make all databases work synchronously is something that is not yet clear.</w:t>
      </w:r>
    </w:p>
    <w:p w14:paraId="777F150B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Incorporate digitized field notes into collector database.</w:t>
      </w:r>
    </w:p>
    <w:p w14:paraId="6157348A" w14:textId="77777777" w:rsidR="007E7392" w:rsidRDefault="007E7392" w:rsidP="007E7392"/>
    <w:p w14:paraId="6987818D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Databases available from three major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georeferencing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projects.</w:t>
      </w:r>
    </w:p>
    <w:p w14:paraId="0E81DBE3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-Unique identifier for locality data- Military reference points</w:t>
      </w:r>
    </w:p>
    <w:p w14:paraId="26DD48E4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>- Points can vary between collectors</w:t>
      </w:r>
    </w:p>
    <w:p w14:paraId="124219DD" w14:textId="77777777" w:rsidR="007E7392" w:rsidRDefault="007E7392" w:rsidP="007E7392"/>
    <w:p w14:paraId="0CE6EE42" w14:textId="77777777" w:rsidR="007E7392" w:rsidRDefault="007E7392" w:rsidP="007E7392">
      <w:r>
        <w:rPr>
          <w:rFonts w:ascii="Verdana" w:eastAsia="Verdana" w:hAnsi="Verdana" w:cs="Verdana"/>
          <w:b/>
          <w:sz w:val="20"/>
          <w:highlight w:val="white"/>
        </w:rPr>
        <w:t xml:space="preserve">Networks between </w:t>
      </w:r>
      <w:proofErr w:type="spellStart"/>
      <w:r>
        <w:rPr>
          <w:rFonts w:ascii="Verdana" w:eastAsia="Verdana" w:hAnsi="Verdana" w:cs="Verdana"/>
          <w:b/>
          <w:sz w:val="20"/>
          <w:highlight w:val="white"/>
        </w:rPr>
        <w:t>TCNs</w:t>
      </w:r>
      <w:proofErr w:type="spellEnd"/>
    </w:p>
    <w:p w14:paraId="124F0B95" w14:textId="77777777" w:rsidR="007E7392" w:rsidRDefault="007E7392" w:rsidP="007E7392"/>
    <w:p w14:paraId="7D7C100B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Monthly online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meetings- perhaps not as useful? </w:t>
      </w:r>
    </w:p>
    <w:p w14:paraId="1B8069B0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lastRenderedPageBreak/>
        <w:tab/>
        <w:t xml:space="preserve">- Static, getting a little better with the addition of new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groups. </w:t>
      </w:r>
    </w:p>
    <w:p w14:paraId="286349CC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>- Technical difficulties of some</w:t>
      </w:r>
    </w:p>
    <w:p w14:paraId="0412EE2E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What service should they serve? </w:t>
      </w:r>
    </w:p>
    <w:p w14:paraId="654810BB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>- Set a point of the meeting prior to it. 2-3 topical issues</w:t>
      </w:r>
    </w:p>
    <w:p w14:paraId="18B6D4B7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>- Reports from (relevant) working groups for each of the meetings</w:t>
      </w:r>
    </w:p>
    <w:p w14:paraId="390B30D8" w14:textId="77777777" w:rsidR="007E7392" w:rsidRDefault="007E7392" w:rsidP="007E7392"/>
    <w:p w14:paraId="7D5DA96E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Building community amongst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- but meetings </w:t>
      </w:r>
      <w:proofErr w:type="gramStart"/>
      <w:r>
        <w:rPr>
          <w:rFonts w:ascii="Verdana" w:eastAsia="Verdana" w:hAnsi="Verdana" w:cs="Verdana"/>
          <w:sz w:val="20"/>
          <w:highlight w:val="white"/>
        </w:rPr>
        <w:t>are</w:t>
      </w:r>
      <w:proofErr w:type="gramEnd"/>
      <w:r>
        <w:rPr>
          <w:rFonts w:ascii="Verdana" w:eastAsia="Verdana" w:hAnsi="Verdana" w:cs="Verdana"/>
          <w:sz w:val="20"/>
          <w:highlight w:val="white"/>
        </w:rPr>
        <w:t xml:space="preserve"> just limited to just PIs</w:t>
      </w:r>
    </w:p>
    <w:p w14:paraId="0D39CE6F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 xml:space="preserve">- Incorporate other members in the meetings? </w:t>
      </w:r>
    </w:p>
    <w:p w14:paraId="7DB13A55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>- Facebook group for students and staff involved in digitization</w:t>
      </w:r>
    </w:p>
    <w:p w14:paraId="1317D00F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 xml:space="preserve">- More communication needed amongst members of a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</w:t>
      </w:r>
      <w:proofErr w:type="spellEnd"/>
    </w:p>
    <w:p w14:paraId="1395889F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networking in other ways iDigBio not aware about?</w:t>
      </w:r>
    </w:p>
    <w:p w14:paraId="6AA705F0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 xml:space="preserve">- Connectives- filtered push,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Symbiota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, Specify </w:t>
      </w:r>
    </w:p>
    <w:p w14:paraId="249BC1A6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Lead institution responsible for planning and coordinating interaction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acitivites</w:t>
      </w:r>
      <w:proofErr w:type="spellEnd"/>
    </w:p>
    <w:p w14:paraId="0660C1A5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ab/>
        <w:t xml:space="preserve">- Budgeted in the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grants</w:t>
      </w:r>
    </w:p>
    <w:p w14:paraId="48F17D3B" w14:textId="77777777" w:rsidR="007E7392" w:rsidRDefault="007E7392" w:rsidP="007E7392"/>
    <w:p w14:paraId="735E134D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Working groups meetings- regular- weekly to biweekly</w:t>
      </w:r>
    </w:p>
    <w:p w14:paraId="7B176D20" w14:textId="77777777" w:rsidR="007E7392" w:rsidRDefault="007E7392" w:rsidP="007E7392"/>
    <w:p w14:paraId="4CC26414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Many developing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beginning to recognized other’s programs/databases that may be relevant to their own efforts</w:t>
      </w:r>
    </w:p>
    <w:p w14:paraId="58862C0E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Considered successful </w:t>
      </w:r>
    </w:p>
    <w:p w14:paraId="2E54F84B" w14:textId="77777777" w:rsidR="007E7392" w:rsidRDefault="007E7392" w:rsidP="007E7392"/>
    <w:p w14:paraId="0CC61B9B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Moving in right direction- need a timeline to develop these useful web services </w:t>
      </w:r>
    </w:p>
    <w:p w14:paraId="271DD24A" w14:textId="77777777" w:rsidR="007E7392" w:rsidRDefault="007E7392" w:rsidP="007E7392"/>
    <w:p w14:paraId="3E193793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Working groups- develop list of current activities and estimated completion date</w:t>
      </w:r>
    </w:p>
    <w:p w14:paraId="6875E24F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Working groups- offer training services and resource to help groups with incorporating their new methods </w:t>
      </w:r>
    </w:p>
    <w:p w14:paraId="0D77DDB9" w14:textId="77777777" w:rsidR="007E7392" w:rsidRDefault="007E7392" w:rsidP="007E7392"/>
    <w:p w14:paraId="4A81C0B2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Issues with iDigBio website- confusing to navigate</w:t>
      </w:r>
    </w:p>
    <w:p w14:paraId="6ECA593C" w14:textId="77777777" w:rsidR="007E7392" w:rsidRDefault="007E7392" w:rsidP="007E7392"/>
    <w:p w14:paraId="63CE3434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Established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share their workflows with the working groups so they can share them with new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</w:p>
    <w:p w14:paraId="78B58DD2" w14:textId="77777777" w:rsidR="007E7392" w:rsidRDefault="007E7392" w:rsidP="007E7392"/>
    <w:p w14:paraId="680EB6CF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Some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with little IT knowledge, iDigBio with several computer scientists-strong IT</w:t>
      </w:r>
    </w:p>
    <w:p w14:paraId="1788176A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Gap-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lacking people funded to fill critical IT roles, iDigBio not funded to provide them </w:t>
      </w:r>
    </w:p>
    <w:p w14:paraId="5AF70CC8" w14:textId="77777777" w:rsidR="007E7392" w:rsidRDefault="007E7392" w:rsidP="007E7392"/>
    <w:p w14:paraId="52B2353D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Judy: Collect these challenges and parse them out to organizations looking to solve “grand Challenges” (i.e.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NESCent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hackathons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) </w:t>
      </w:r>
    </w:p>
    <w:p w14:paraId="19B1442C" w14:textId="77777777" w:rsidR="007E7392" w:rsidRDefault="007E7392" w:rsidP="007E7392"/>
    <w:p w14:paraId="40910BC0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-Coordinate with iDigBio,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, and working groups to figure out common problem to set resourced toward to solve.  </w:t>
      </w:r>
    </w:p>
    <w:p w14:paraId="177C8E55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 Survey to groups to get input- all associated with iDigBio </w:t>
      </w:r>
    </w:p>
    <w:p w14:paraId="206D1498" w14:textId="77777777" w:rsidR="007E7392" w:rsidRDefault="007E7392" w:rsidP="007E7392"/>
    <w:p w14:paraId="13BBCA29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</w:t>
      </w:r>
      <w:proofErr w:type="gramStart"/>
      <w:r>
        <w:rPr>
          <w:rFonts w:ascii="Verdana" w:eastAsia="Verdana" w:hAnsi="Verdana" w:cs="Verdana"/>
          <w:sz w:val="20"/>
          <w:highlight w:val="white"/>
        </w:rPr>
        <w:t>iDigBio</w:t>
      </w:r>
      <w:proofErr w:type="gramEnd"/>
      <w:r>
        <w:rPr>
          <w:rFonts w:ascii="Verdana" w:eastAsia="Verdana" w:hAnsi="Verdana" w:cs="Verdana"/>
          <w:sz w:val="20"/>
          <w:highlight w:val="white"/>
        </w:rPr>
        <w:t xml:space="preserve"> forums-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Georef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forum high use, promoted</w:t>
      </w:r>
    </w:p>
    <w:p w14:paraId="2647508D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-Afraid to post newbie questions- afraid of snarky or no response at all</w:t>
      </w:r>
    </w:p>
    <w:p w14:paraId="18E9F9E8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-Encourage participation in the forum</w:t>
      </w:r>
    </w:p>
    <w:p w14:paraId="6324F419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-Need to subscribe to the forum in order to get notification that someone has posted something to the forum. </w:t>
      </w:r>
    </w:p>
    <w:p w14:paraId="1BB5537A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 xml:space="preserve">Goal- track who is responding the forum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etc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- iDigBio staff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vs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TCN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people </w:t>
      </w:r>
    </w:p>
    <w:p w14:paraId="1650347B" w14:textId="77777777" w:rsidR="007E7392" w:rsidRDefault="007E7392" w:rsidP="007E7392">
      <w:r>
        <w:rPr>
          <w:rFonts w:ascii="Verdana" w:eastAsia="Verdana" w:hAnsi="Verdana" w:cs="Verdana"/>
          <w:sz w:val="20"/>
          <w:highlight w:val="white"/>
        </w:rPr>
        <w:t>- Cross-link to Wiki pages for useful information.</w:t>
      </w:r>
    </w:p>
    <w:p w14:paraId="6BA300A3" w14:textId="77777777" w:rsidR="007E7392" w:rsidRPr="007E7392" w:rsidRDefault="007E7392" w:rsidP="007E7392"/>
    <w:sectPr w:rsidR="007E7392" w:rsidRPr="007E7392" w:rsidSect="003915F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5A340" w14:textId="77777777" w:rsidR="0011318D" w:rsidRDefault="0011318D" w:rsidP="00F06056">
      <w:pPr>
        <w:spacing w:after="0" w:line="240" w:lineRule="auto"/>
      </w:pPr>
      <w:r>
        <w:separator/>
      </w:r>
    </w:p>
  </w:endnote>
  <w:endnote w:type="continuationSeparator" w:id="0">
    <w:p w14:paraId="68546C36" w14:textId="77777777" w:rsidR="0011318D" w:rsidRDefault="0011318D" w:rsidP="00F0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1"/>
      <w:gridCol w:w="9279"/>
    </w:tblGrid>
    <w:tr w:rsidR="0011318D" w14:paraId="0BFC9CD2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34C61205" w14:textId="77777777" w:rsidR="0011318D" w:rsidRDefault="0011318D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7392" w:rsidRPr="007E7392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2DAE1F89" w14:textId="6E05B2A3" w:rsidR="0011318D" w:rsidRPr="003915FF" w:rsidRDefault="0011318D" w:rsidP="007E7392">
          <w:pPr>
            <w:pStyle w:val="Footer"/>
            <w:tabs>
              <w:tab w:val="clear" w:pos="4680"/>
              <w:tab w:val="clear" w:pos="9360"/>
              <w:tab w:val="right" w:pos="9049"/>
            </w:tabs>
            <w:rPr>
              <w:b/>
            </w:rPr>
          </w:pPr>
          <w:r>
            <w:tab/>
          </w:r>
          <w:r w:rsidR="007E7392">
            <w:rPr>
              <w:b/>
            </w:rPr>
            <w:t>Collaboration Discussion Group</w:t>
          </w:r>
        </w:p>
      </w:tc>
    </w:tr>
  </w:tbl>
  <w:p w14:paraId="7518D3CA" w14:textId="77777777" w:rsidR="0011318D" w:rsidRPr="003915FF" w:rsidRDefault="0011318D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6993" w14:textId="77777777" w:rsidR="0011318D" w:rsidRPr="003345BC" w:rsidRDefault="007E7392" w:rsidP="003915FF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pict w14:anchorId="0E26474C">
        <v:rect id="_x0000_i1039" style="width:468pt;height:.5pt;mso-position-vertical:absolute" o:hralign="center" o:hrstd="t" o:hrnoshade="t" o:hr="t" fillcolor="#a0a0a0" stroked="f"/>
      </w:pict>
    </w:r>
  </w:p>
  <w:p w14:paraId="23B6E979" w14:textId="77777777" w:rsidR="0011318D" w:rsidRPr="003345BC" w:rsidRDefault="0011318D" w:rsidP="003915FF">
    <w:pPr>
      <w:pStyle w:val="Footer"/>
      <w:tabs>
        <w:tab w:val="clear" w:pos="4680"/>
        <w:tab w:val="clear" w:pos="9360"/>
        <w:tab w:val="right" w:pos="10080"/>
      </w:tabs>
      <w:jc w:val="center"/>
      <w:rPr>
        <w:i/>
        <w:iCs/>
        <w:sz w:val="16"/>
        <w:szCs w:val="16"/>
      </w:rPr>
    </w:pPr>
    <w:r w:rsidRPr="003345BC">
      <w:rPr>
        <w:i/>
        <w:iCs/>
        <w:sz w:val="16"/>
        <w:szCs w:val="16"/>
      </w:rPr>
      <w:t>Presented by the National Resource at the University of Florida and Florida State University for Advancing Digitization of Biological Collections (</w:t>
    </w:r>
    <w:proofErr w:type="spellStart"/>
    <w:r w:rsidRPr="003345BC">
      <w:rPr>
        <w:i/>
        <w:iCs/>
        <w:sz w:val="16"/>
        <w:szCs w:val="16"/>
      </w:rPr>
      <w:t>ADBC</w:t>
    </w:r>
    <w:proofErr w:type="spellEnd"/>
    <w:r w:rsidRPr="003345BC">
      <w:rPr>
        <w:i/>
        <w:iCs/>
        <w:sz w:val="16"/>
        <w:szCs w:val="16"/>
      </w:rPr>
      <w:t>).</w:t>
    </w:r>
  </w:p>
  <w:p w14:paraId="3B277BDB" w14:textId="77777777" w:rsidR="0011318D" w:rsidRPr="003345BC" w:rsidRDefault="0011318D" w:rsidP="003915FF">
    <w:pPr>
      <w:pStyle w:val="Footer"/>
      <w:tabs>
        <w:tab w:val="clear" w:pos="4680"/>
        <w:tab w:val="clear" w:pos="9360"/>
        <w:tab w:val="right" w:pos="10080"/>
      </w:tabs>
      <w:jc w:val="center"/>
      <w:rPr>
        <w:i/>
        <w:sz w:val="16"/>
        <w:szCs w:val="16"/>
      </w:rPr>
    </w:pPr>
    <w:proofErr w:type="gramStart"/>
    <w:r w:rsidRPr="003345BC">
      <w:rPr>
        <w:i/>
        <w:sz w:val="16"/>
        <w:szCs w:val="16"/>
      </w:rPr>
      <w:t>iDigBio</w:t>
    </w:r>
    <w:proofErr w:type="gramEnd"/>
    <w:r w:rsidRPr="003345BC">
      <w:rPr>
        <w:i/>
        <w:sz w:val="16"/>
        <w:szCs w:val="16"/>
      </w:rPr>
      <w:t xml:space="preserve"> is funded by a grant from the National Science Foundation's Advancing Digitization of Biodiversity Collections Program (#EF1115210).</w:t>
    </w:r>
  </w:p>
  <w:p w14:paraId="74C76389" w14:textId="77777777" w:rsidR="0011318D" w:rsidRPr="003345BC" w:rsidRDefault="0011318D" w:rsidP="003915FF">
    <w:pPr>
      <w:pStyle w:val="Footer"/>
      <w:jc w:val="center"/>
      <w:rPr>
        <w:sz w:val="12"/>
        <w:szCs w:val="12"/>
      </w:rPr>
    </w:pPr>
    <w:r w:rsidRPr="003345BC">
      <w:rPr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6D89D8F1" wp14:editId="5C548771">
          <wp:simplePos x="0" y="0"/>
          <wp:positionH relativeFrom="column">
            <wp:posOffset>411480</wp:posOffset>
          </wp:positionH>
          <wp:positionV relativeFrom="paragraph">
            <wp:posOffset>95885</wp:posOffset>
          </wp:positionV>
          <wp:extent cx="1143000" cy="2565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31DCD77D" wp14:editId="00439D4C">
          <wp:simplePos x="0" y="0"/>
          <wp:positionH relativeFrom="column">
            <wp:posOffset>5129530</wp:posOffset>
          </wp:positionH>
          <wp:positionV relativeFrom="paragraph">
            <wp:posOffset>114300</wp:posOffset>
          </wp:positionV>
          <wp:extent cx="965200" cy="204470"/>
          <wp:effectExtent l="0" t="0" r="635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2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  <w:vertAlign w:val="subscript"/>
      </w:rPr>
      <w:drawing>
        <wp:anchor distT="0" distB="0" distL="114300" distR="114300" simplePos="0" relativeHeight="251667456" behindDoc="0" locked="0" layoutInCell="1" allowOverlap="1" wp14:anchorId="3CF619A4" wp14:editId="484288CA">
          <wp:simplePos x="0" y="0"/>
          <wp:positionH relativeFrom="column">
            <wp:posOffset>4179570</wp:posOffset>
          </wp:positionH>
          <wp:positionV relativeFrom="paragraph">
            <wp:posOffset>50800</wp:posOffset>
          </wp:positionV>
          <wp:extent cx="380365" cy="34290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 wp14:anchorId="3B8677F0" wp14:editId="30B401C3">
          <wp:simplePos x="0" y="0"/>
          <wp:positionH relativeFrom="column">
            <wp:posOffset>2124075</wp:posOffset>
          </wp:positionH>
          <wp:positionV relativeFrom="paragraph">
            <wp:posOffset>73025</wp:posOffset>
          </wp:positionV>
          <wp:extent cx="1485900" cy="27940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952C" w14:textId="77777777" w:rsidR="0011318D" w:rsidRDefault="0011318D" w:rsidP="00F06056">
      <w:pPr>
        <w:spacing w:after="0" w:line="240" w:lineRule="auto"/>
      </w:pPr>
      <w:r>
        <w:separator/>
      </w:r>
    </w:p>
  </w:footnote>
  <w:footnote w:type="continuationSeparator" w:id="0">
    <w:p w14:paraId="0DF11C1F" w14:textId="77777777" w:rsidR="0011318D" w:rsidRDefault="0011318D" w:rsidP="00F0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2C149" w14:textId="75B1AFCF" w:rsidR="0011318D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sz w:val="48"/>
        <w:szCs w:val="48"/>
      </w:rPr>
    </w:pPr>
    <w:r w:rsidRPr="003915FF">
      <w:rPr>
        <w:noProof/>
        <w:sz w:val="48"/>
        <w:szCs w:val="48"/>
      </w:rPr>
      <w:drawing>
        <wp:anchor distT="0" distB="0" distL="114300" distR="114300" simplePos="0" relativeHeight="251662336" behindDoc="0" locked="0" layoutInCell="1" allowOverlap="1" wp14:anchorId="385D7005" wp14:editId="739F4F0C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1859280" cy="579120"/>
          <wp:effectExtent l="0" t="0" r="7620" b="0"/>
          <wp:wrapNone/>
          <wp:docPr id="1" name="Picture 1" descr="iDigBio_Logo_RGB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igBio_Logo_RGB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ab/>
    </w:r>
    <w:proofErr w:type="gramStart"/>
    <w:r>
      <w:rPr>
        <w:sz w:val="48"/>
        <w:szCs w:val="48"/>
      </w:rPr>
      <w:t>iDigBio</w:t>
    </w:r>
    <w:proofErr w:type="gramEnd"/>
    <w:r>
      <w:rPr>
        <w:sz w:val="48"/>
        <w:szCs w:val="48"/>
      </w:rPr>
      <w:t xml:space="preserve"> </w:t>
    </w:r>
    <w:r w:rsidRPr="003915FF">
      <w:rPr>
        <w:sz w:val="48"/>
        <w:szCs w:val="48"/>
      </w:rPr>
      <w:t>Summit II</w:t>
    </w:r>
  </w:p>
  <w:p w14:paraId="7D1DC87C" w14:textId="77777777" w:rsidR="0011318D" w:rsidRPr="003915FF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i/>
        <w:sz w:val="32"/>
        <w:szCs w:val="32"/>
      </w:rPr>
    </w:pPr>
    <w:r>
      <w:rPr>
        <w:i/>
        <w:sz w:val="32"/>
        <w:szCs w:val="32"/>
      </w:rPr>
      <w:tab/>
      <w:t>October 23-24, 2012</w:t>
    </w:r>
  </w:p>
  <w:p w14:paraId="7AA13B5F" w14:textId="77777777" w:rsidR="0011318D" w:rsidRPr="005D2349" w:rsidRDefault="007E7392" w:rsidP="00EA0447">
    <w:pPr>
      <w:pStyle w:val="Header"/>
      <w:tabs>
        <w:tab w:val="clear" w:pos="4680"/>
        <w:tab w:val="clear" w:pos="9360"/>
        <w:tab w:val="right" w:pos="10080"/>
      </w:tabs>
      <w:spacing w:after="120"/>
      <w:rPr>
        <w:sz w:val="16"/>
        <w:szCs w:val="16"/>
      </w:rPr>
    </w:pPr>
    <w:r>
      <w:rPr>
        <w:sz w:val="16"/>
        <w:szCs w:val="16"/>
      </w:rPr>
      <w:pict w14:anchorId="41A87A64">
        <v:rect id="_x0000_i1037" style="width:468pt;height:.5pt;mso-position-vertical:absolute" o:hralign="center" o:hrstd="t" o:hrnoshade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BDA3" w14:textId="2C4594E2" w:rsidR="0011318D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sz w:val="48"/>
        <w:szCs w:val="48"/>
      </w:rPr>
    </w:pPr>
    <w:r w:rsidRPr="003915FF">
      <w:rPr>
        <w:noProof/>
        <w:sz w:val="48"/>
        <w:szCs w:val="48"/>
      </w:rPr>
      <w:drawing>
        <wp:anchor distT="0" distB="0" distL="114300" distR="114300" simplePos="0" relativeHeight="251664384" behindDoc="0" locked="0" layoutInCell="1" allowOverlap="1" wp14:anchorId="0CC93A3A" wp14:editId="1ECB6F5B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1859280" cy="579120"/>
          <wp:effectExtent l="0" t="0" r="7620" b="0"/>
          <wp:wrapNone/>
          <wp:docPr id="3" name="Picture 3" descr="iDigBio_Logo_RGB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igBio_Logo_RGB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ab/>
    </w:r>
    <w:proofErr w:type="gramStart"/>
    <w:r>
      <w:rPr>
        <w:sz w:val="48"/>
        <w:szCs w:val="48"/>
      </w:rPr>
      <w:t>iDigBio</w:t>
    </w:r>
    <w:proofErr w:type="gramEnd"/>
    <w:r>
      <w:rPr>
        <w:sz w:val="48"/>
        <w:szCs w:val="48"/>
      </w:rPr>
      <w:t xml:space="preserve"> </w:t>
    </w:r>
    <w:r w:rsidRPr="003915FF">
      <w:rPr>
        <w:sz w:val="48"/>
        <w:szCs w:val="48"/>
      </w:rPr>
      <w:t>Summit II</w:t>
    </w:r>
  </w:p>
  <w:p w14:paraId="5FFCD78D" w14:textId="77777777" w:rsidR="0011318D" w:rsidRPr="003915FF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i/>
        <w:sz w:val="32"/>
        <w:szCs w:val="32"/>
      </w:rPr>
    </w:pPr>
    <w:r>
      <w:rPr>
        <w:i/>
        <w:sz w:val="32"/>
        <w:szCs w:val="32"/>
      </w:rPr>
      <w:tab/>
      <w:t>October 23-24, 2012</w:t>
    </w:r>
  </w:p>
  <w:p w14:paraId="01E6250D" w14:textId="77777777" w:rsidR="0011318D" w:rsidRPr="003915FF" w:rsidRDefault="007E7392" w:rsidP="003345BC">
    <w:pPr>
      <w:pStyle w:val="Head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pict w14:anchorId="7D7BB6F1">
        <v:rect id="_x0000_i1038" style="width:468pt;height:.5pt;mso-position-vertical:absolute" o:hralign="center" o:hrstd="t" o:hrnoshade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32A7"/>
    <w:multiLevelType w:val="hybridMultilevel"/>
    <w:tmpl w:val="D026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279F0"/>
    <w:multiLevelType w:val="hybridMultilevel"/>
    <w:tmpl w:val="98FA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56"/>
    <w:rsid w:val="00012897"/>
    <w:rsid w:val="00047B27"/>
    <w:rsid w:val="000D0A2C"/>
    <w:rsid w:val="000D48BD"/>
    <w:rsid w:val="000E1535"/>
    <w:rsid w:val="0011318D"/>
    <w:rsid w:val="00166C98"/>
    <w:rsid w:val="001B285F"/>
    <w:rsid w:val="001E0C29"/>
    <w:rsid w:val="00213698"/>
    <w:rsid w:val="0021645B"/>
    <w:rsid w:val="002875E4"/>
    <w:rsid w:val="00295DDF"/>
    <w:rsid w:val="002A6614"/>
    <w:rsid w:val="003345BC"/>
    <w:rsid w:val="003915FF"/>
    <w:rsid w:val="003E2EB5"/>
    <w:rsid w:val="003E7C36"/>
    <w:rsid w:val="004348F4"/>
    <w:rsid w:val="00441C32"/>
    <w:rsid w:val="004640EC"/>
    <w:rsid w:val="00473EAC"/>
    <w:rsid w:val="00480231"/>
    <w:rsid w:val="0048163C"/>
    <w:rsid w:val="004A0B16"/>
    <w:rsid w:val="004E6B31"/>
    <w:rsid w:val="00561BC4"/>
    <w:rsid w:val="005B031A"/>
    <w:rsid w:val="005D2349"/>
    <w:rsid w:val="005F137C"/>
    <w:rsid w:val="0062794D"/>
    <w:rsid w:val="0063032B"/>
    <w:rsid w:val="00654103"/>
    <w:rsid w:val="00692608"/>
    <w:rsid w:val="0071295C"/>
    <w:rsid w:val="007301FD"/>
    <w:rsid w:val="00770796"/>
    <w:rsid w:val="00773DF2"/>
    <w:rsid w:val="00786643"/>
    <w:rsid w:val="007E7392"/>
    <w:rsid w:val="008108E9"/>
    <w:rsid w:val="0081394D"/>
    <w:rsid w:val="0084627E"/>
    <w:rsid w:val="00865BCD"/>
    <w:rsid w:val="0089415A"/>
    <w:rsid w:val="008A1CA0"/>
    <w:rsid w:val="008C36A7"/>
    <w:rsid w:val="00922B6F"/>
    <w:rsid w:val="0095131E"/>
    <w:rsid w:val="00956AC5"/>
    <w:rsid w:val="00992799"/>
    <w:rsid w:val="009F11BF"/>
    <w:rsid w:val="00A1757D"/>
    <w:rsid w:val="00AA799C"/>
    <w:rsid w:val="00AC6130"/>
    <w:rsid w:val="00B02853"/>
    <w:rsid w:val="00B237F7"/>
    <w:rsid w:val="00B372CD"/>
    <w:rsid w:val="00BA2F52"/>
    <w:rsid w:val="00BB4B17"/>
    <w:rsid w:val="00BC09F7"/>
    <w:rsid w:val="00BE23AB"/>
    <w:rsid w:val="00C9136A"/>
    <w:rsid w:val="00CB2639"/>
    <w:rsid w:val="00CD6F4E"/>
    <w:rsid w:val="00D05686"/>
    <w:rsid w:val="00D33A83"/>
    <w:rsid w:val="00DE74B9"/>
    <w:rsid w:val="00DE78E7"/>
    <w:rsid w:val="00E3198B"/>
    <w:rsid w:val="00E62636"/>
    <w:rsid w:val="00E76C4A"/>
    <w:rsid w:val="00EA0447"/>
    <w:rsid w:val="00F06056"/>
    <w:rsid w:val="00F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4"/>
    <o:shapelayout v:ext="edit">
      <o:idmap v:ext="edit" data="1"/>
    </o:shapelayout>
  </w:shapeDefaults>
  <w:decimalSymbol w:val="."/>
  <w:listSeparator w:val=","/>
  <w14:docId w14:val="189D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0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56"/>
  </w:style>
  <w:style w:type="paragraph" w:styleId="Footer">
    <w:name w:val="footer"/>
    <w:basedOn w:val="Normal"/>
    <w:link w:val="Foot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56"/>
  </w:style>
  <w:style w:type="paragraph" w:styleId="BalloonText">
    <w:name w:val="Balloon Text"/>
    <w:basedOn w:val="Normal"/>
    <w:link w:val="BalloonTextChar"/>
    <w:uiPriority w:val="99"/>
    <w:semiHidden/>
    <w:unhideWhenUsed/>
    <w:rsid w:val="00F0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5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915F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2A6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A6614"/>
    <w:pPr>
      <w:ind w:left="720"/>
      <w:contextualSpacing/>
    </w:pPr>
  </w:style>
  <w:style w:type="table" w:styleId="TableGrid">
    <w:name w:val="Table Grid"/>
    <w:basedOn w:val="TableNormal"/>
    <w:uiPriority w:val="59"/>
    <w:rsid w:val="002A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A6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A6614"/>
    <w:rPr>
      <w:b/>
      <w:bCs/>
      <w:smallCaps/>
      <w:spacing w:val="5"/>
    </w:rPr>
  </w:style>
  <w:style w:type="table" w:styleId="LightShading-Accent1">
    <w:name w:val="Light Shading Accent 1"/>
    <w:basedOn w:val="TableNormal"/>
    <w:uiPriority w:val="60"/>
    <w:rsid w:val="00561B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46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36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0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56"/>
  </w:style>
  <w:style w:type="paragraph" w:styleId="Footer">
    <w:name w:val="footer"/>
    <w:basedOn w:val="Normal"/>
    <w:link w:val="Foot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56"/>
  </w:style>
  <w:style w:type="paragraph" w:styleId="BalloonText">
    <w:name w:val="Balloon Text"/>
    <w:basedOn w:val="Normal"/>
    <w:link w:val="BalloonTextChar"/>
    <w:uiPriority w:val="99"/>
    <w:semiHidden/>
    <w:unhideWhenUsed/>
    <w:rsid w:val="00F0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5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915F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2A6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A6614"/>
    <w:pPr>
      <w:ind w:left="720"/>
      <w:contextualSpacing/>
    </w:pPr>
  </w:style>
  <w:style w:type="table" w:styleId="TableGrid">
    <w:name w:val="Table Grid"/>
    <w:basedOn w:val="TableNormal"/>
    <w:uiPriority w:val="59"/>
    <w:rsid w:val="002A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A6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A6614"/>
    <w:rPr>
      <w:b/>
      <w:bCs/>
      <w:smallCaps/>
      <w:spacing w:val="5"/>
    </w:rPr>
  </w:style>
  <w:style w:type="table" w:styleId="LightShading-Accent1">
    <w:name w:val="Light Shading Accent 1"/>
    <w:basedOn w:val="TableNormal"/>
    <w:uiPriority w:val="60"/>
    <w:rsid w:val="00561B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46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36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uh.harvard.ed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iki.huh.harvard.edu/databases/botanist_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tinyurl.com/summit2-collabor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bIFhqEN5w60Z7GIlwYbMwCkgc14tb-AFX0GZiFkOIdk/ed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108C-7048-4926-A8A2-3040C51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Jennings</dc:creator>
  <cp:lastModifiedBy>David Jennings</cp:lastModifiedBy>
  <cp:revision>7</cp:revision>
  <cp:lastPrinted>2012-08-31T13:27:00Z</cp:lastPrinted>
  <dcterms:created xsi:type="dcterms:W3CDTF">2012-10-16T18:58:00Z</dcterms:created>
  <dcterms:modified xsi:type="dcterms:W3CDTF">2012-11-02T18:14:00Z</dcterms:modified>
</cp:coreProperties>
</file>