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3"/>
        <w:tblW w:w="9540" w:type="dxa"/>
        <w:tblCellMar>
          <w:top w:w="58" w:type="dxa"/>
          <w:left w:w="58" w:type="dxa"/>
          <w:bottom w:w="58" w:type="dxa"/>
          <w:right w:w="58" w:type="dxa"/>
        </w:tblCellMar>
        <w:tblLook w:val="0420" w:firstRow="1" w:lastRow="0" w:firstColumn="0" w:lastColumn="0" w:noHBand="0" w:noVBand="1"/>
      </w:tblPr>
      <w:tblGrid>
        <w:gridCol w:w="9540"/>
      </w:tblGrid>
      <w:tr w:rsidR="003D2662" w:rsidRPr="003D2662" w:rsidTr="003D2662">
        <w:trPr>
          <w:cnfStyle w:val="100000000000" w:firstRow="1" w:lastRow="0" w:firstColumn="0" w:lastColumn="0" w:oddVBand="0" w:evenVBand="0" w:oddHBand="0" w:evenHBand="0" w:firstRowFirstColumn="0" w:firstRowLastColumn="0" w:lastRowFirstColumn="0" w:lastRowLastColumn="0"/>
          <w:cantSplit/>
          <w:tblHeader/>
        </w:trPr>
        <w:tc>
          <w:tcPr>
            <w:tcW w:w="9540" w:type="dxa"/>
            <w:hideMark/>
          </w:tcPr>
          <w:p w:rsidR="003D2662" w:rsidRPr="003D2662" w:rsidRDefault="003D2662" w:rsidP="003D2662">
            <w:pPr>
              <w:rPr>
                <w:rFonts w:ascii="Calibri" w:eastAsia="Times New Roman" w:hAnsi="Calibri" w:cs="Times New Roman"/>
                <w:color w:val="000000"/>
              </w:rPr>
            </w:pPr>
            <w:r w:rsidRPr="003D2662">
              <w:rPr>
                <w:rFonts w:ascii="Calibri" w:eastAsia="Times New Roman" w:hAnsi="Calibri" w:cs="Times New Roman"/>
                <w:color w:val="000000"/>
              </w:rPr>
              <w:t>What is ONE item that iDigBio needs to focus on in the future (i.e., years 6-10)?</w:t>
            </w:r>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 xml:space="preserve">Use of the data, using examples of data use by students, scientists and policy-makers, etc. to show why this project is so important along with inspiring others to utilize the vast amount of data that is available to them.  This could also include curriculum development projects for classroom use to better prepare students for future careers and use of big data throughout their professional (and personal) lives. All of the above </w:t>
            </w:r>
            <w:proofErr w:type="gramStart"/>
            <w:r w:rsidRPr="003D2662">
              <w:rPr>
                <w:rFonts w:ascii="Calibri" w:eastAsia="Times New Roman" w:hAnsi="Calibri" w:cs="Times New Roman"/>
                <w:color w:val="000000"/>
                <w:sz w:val="16"/>
                <w:szCs w:val="16"/>
              </w:rPr>
              <w:t>should be highlighted</w:t>
            </w:r>
            <w:proofErr w:type="gramEnd"/>
            <w:r w:rsidRPr="003D2662">
              <w:rPr>
                <w:rFonts w:ascii="Calibri" w:eastAsia="Times New Roman" w:hAnsi="Calibri" w:cs="Times New Roman"/>
                <w:color w:val="000000"/>
                <w:sz w:val="16"/>
                <w:szCs w:val="16"/>
              </w:rPr>
              <w:t xml:space="preserve"> on the iDigBio web site and social media outlets. </w:t>
            </w:r>
          </w:p>
        </w:tc>
      </w:tr>
      <w:tr w:rsidR="003D2662" w:rsidRPr="003D2662" w:rsidTr="003D2662">
        <w:trPr>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 xml:space="preserve">Sustainability at various levels related to the national digitization effort, including </w:t>
            </w:r>
            <w:proofErr w:type="spellStart"/>
            <w:r w:rsidRPr="003D2662">
              <w:rPr>
                <w:rFonts w:ascii="Calibri" w:eastAsia="Times New Roman" w:hAnsi="Calibri" w:cs="Times New Roman"/>
                <w:color w:val="000000"/>
                <w:sz w:val="16"/>
                <w:szCs w:val="16"/>
              </w:rPr>
              <w:t>TCNs</w:t>
            </w:r>
            <w:proofErr w:type="spellEnd"/>
            <w:r w:rsidRPr="003D2662">
              <w:rPr>
                <w:rFonts w:ascii="Calibri" w:eastAsia="Times New Roman" w:hAnsi="Calibri" w:cs="Times New Roman"/>
                <w:color w:val="000000"/>
                <w:sz w:val="16"/>
                <w:szCs w:val="16"/>
              </w:rPr>
              <w:t xml:space="preserve"> and other networks and iDigBio.  This requires demonstration of the value of collections-based data to research, education and outreach activities related to natural resource management and protection.  </w:t>
            </w:r>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 xml:space="preserve">We need to focus on making </w:t>
            </w:r>
            <w:proofErr w:type="spellStart"/>
            <w:r w:rsidRPr="003D2662">
              <w:rPr>
                <w:rFonts w:ascii="Calibri" w:eastAsia="Times New Roman" w:hAnsi="Calibri" w:cs="Times New Roman"/>
                <w:color w:val="000000"/>
                <w:sz w:val="16"/>
                <w:szCs w:val="16"/>
              </w:rPr>
              <w:t>iDigBio's</w:t>
            </w:r>
            <w:proofErr w:type="spellEnd"/>
            <w:r w:rsidRPr="003D2662">
              <w:rPr>
                <w:rFonts w:ascii="Calibri" w:eastAsia="Times New Roman" w:hAnsi="Calibri" w:cs="Times New Roman"/>
                <w:color w:val="000000"/>
                <w:sz w:val="16"/>
                <w:szCs w:val="16"/>
              </w:rPr>
              <w:t xml:space="preserve"> data ubiquitous and accessible.</w:t>
            </w:r>
          </w:p>
        </w:tc>
      </w:tr>
      <w:tr w:rsidR="003D2662" w:rsidRPr="003D2662" w:rsidTr="003D2662">
        <w:trPr>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proofErr w:type="gramStart"/>
            <w:r w:rsidRPr="003D2662">
              <w:rPr>
                <w:rFonts w:ascii="Calibri" w:eastAsia="Times New Roman" w:hAnsi="Calibri" w:cs="Times New Roman"/>
                <w:color w:val="000000"/>
                <w:sz w:val="16"/>
                <w:szCs w:val="16"/>
              </w:rPr>
              <w:t>Sustainability solutions, including broad engagement of the public.</w:t>
            </w:r>
            <w:proofErr w:type="gramEnd"/>
            <w:r w:rsidRPr="003D2662">
              <w:rPr>
                <w:rFonts w:ascii="Calibri" w:eastAsia="Times New Roman" w:hAnsi="Calibri" w:cs="Times New Roman"/>
                <w:color w:val="000000"/>
                <w:sz w:val="16"/>
                <w:szCs w:val="16"/>
              </w:rPr>
              <w:t xml:space="preserve">  </w:t>
            </w:r>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proofErr w:type="gramStart"/>
            <w:r w:rsidRPr="003D2662">
              <w:rPr>
                <w:rFonts w:ascii="Calibri" w:eastAsia="Times New Roman" w:hAnsi="Calibri" w:cs="Times New Roman"/>
                <w:color w:val="000000"/>
                <w:sz w:val="16"/>
                <w:szCs w:val="16"/>
              </w:rPr>
              <w:t>Shifting to a sustainable, distributed community-based model that depends on cost- and content-sharing across the collections community and ensures the continuation of digitization resource development beyond iDigBio.</w:t>
            </w:r>
            <w:proofErr w:type="gramEnd"/>
            <w:r w:rsidRPr="003D2662">
              <w:rPr>
                <w:rFonts w:ascii="Calibri" w:eastAsia="Times New Roman" w:hAnsi="Calibri" w:cs="Times New Roman"/>
                <w:color w:val="000000"/>
                <w:sz w:val="16"/>
                <w:szCs w:val="16"/>
              </w:rPr>
              <w:t xml:space="preserve"> Related to this, my personal goal is to ramp up efforts at rounding up and supporting small collections, recruiting them into the broader collections community (including </w:t>
            </w:r>
            <w:proofErr w:type="spellStart"/>
            <w:r w:rsidRPr="003D2662">
              <w:rPr>
                <w:rFonts w:ascii="Calibri" w:eastAsia="Times New Roman" w:hAnsi="Calibri" w:cs="Times New Roman"/>
                <w:color w:val="000000"/>
                <w:sz w:val="16"/>
                <w:szCs w:val="16"/>
              </w:rPr>
              <w:t>SPNHC</w:t>
            </w:r>
            <w:proofErr w:type="spellEnd"/>
            <w:r w:rsidRPr="003D2662">
              <w:rPr>
                <w:rFonts w:ascii="Calibri" w:eastAsia="Times New Roman" w:hAnsi="Calibri" w:cs="Times New Roman"/>
                <w:color w:val="000000"/>
                <w:sz w:val="16"/>
                <w:szCs w:val="16"/>
              </w:rPr>
              <w:t xml:space="preserve"> and </w:t>
            </w:r>
            <w:proofErr w:type="spellStart"/>
            <w:r w:rsidRPr="003D2662">
              <w:rPr>
                <w:rFonts w:ascii="Calibri" w:eastAsia="Times New Roman" w:hAnsi="Calibri" w:cs="Times New Roman"/>
                <w:color w:val="000000"/>
                <w:sz w:val="16"/>
                <w:szCs w:val="16"/>
              </w:rPr>
              <w:t>NSCA</w:t>
            </w:r>
            <w:proofErr w:type="spellEnd"/>
            <w:r w:rsidRPr="003D2662">
              <w:rPr>
                <w:rFonts w:ascii="Calibri" w:eastAsia="Times New Roman" w:hAnsi="Calibri" w:cs="Times New Roman"/>
                <w:color w:val="000000"/>
                <w:sz w:val="16"/>
                <w:szCs w:val="16"/>
              </w:rPr>
              <w:t>), encouraging digitization of their holdings, and mobilizing the "dark data" referred to by NSF in its early press releases.</w:t>
            </w:r>
          </w:p>
        </w:tc>
      </w:tr>
      <w:tr w:rsidR="003D2662" w:rsidRPr="003D2662" w:rsidTr="003D2662">
        <w:trPr>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There must be a focus on the continuation of iDigBio. Demonstrating the use cases by scientists of iDigBio data will be critical during this period.</w:t>
            </w:r>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I think in years 6-10 one item we need to focus on enabling bio-diversity research in ways that will clearly differentiate us from other projects (</w:t>
            </w:r>
            <w:proofErr w:type="spellStart"/>
            <w:r w:rsidRPr="003D2662">
              <w:rPr>
                <w:rFonts w:ascii="Calibri" w:eastAsia="Times New Roman" w:hAnsi="Calibri" w:cs="Times New Roman"/>
                <w:color w:val="000000"/>
                <w:sz w:val="16"/>
                <w:szCs w:val="16"/>
              </w:rPr>
              <w:t>GBIF,BISON</w:t>
            </w:r>
            <w:proofErr w:type="spellEnd"/>
            <w:r w:rsidRPr="003D2662">
              <w:rPr>
                <w:rFonts w:ascii="Calibri" w:eastAsia="Times New Roman" w:hAnsi="Calibri" w:cs="Times New Roman"/>
                <w:color w:val="000000"/>
                <w:sz w:val="16"/>
                <w:szCs w:val="16"/>
              </w:rPr>
              <w:t xml:space="preserve">) - evolve from a aggregated data store where researchers can search and download data, to one where researchers can run data-intensive workflows. Our mission </w:t>
            </w:r>
            <w:proofErr w:type="gramStart"/>
            <w:r w:rsidRPr="003D2662">
              <w:rPr>
                <w:rFonts w:ascii="Calibri" w:eastAsia="Times New Roman" w:hAnsi="Calibri" w:cs="Times New Roman"/>
                <w:color w:val="000000"/>
                <w:sz w:val="16"/>
                <w:szCs w:val="16"/>
              </w:rPr>
              <w:t>is focused</w:t>
            </w:r>
            <w:proofErr w:type="gramEnd"/>
            <w:r w:rsidRPr="003D2662">
              <w:rPr>
                <w:rFonts w:ascii="Calibri" w:eastAsia="Times New Roman" w:hAnsi="Calibri" w:cs="Times New Roman"/>
                <w:color w:val="000000"/>
                <w:sz w:val="16"/>
                <w:szCs w:val="16"/>
              </w:rPr>
              <w:t xml:space="preserve"> on enabling research with the data we store, and this will help sharpen our distinction with respect to other projects. </w:t>
            </w:r>
            <w:proofErr w:type="gramStart"/>
            <w:r w:rsidRPr="003D2662">
              <w:rPr>
                <w:rFonts w:ascii="Calibri" w:eastAsia="Times New Roman" w:hAnsi="Calibri" w:cs="Times New Roman"/>
                <w:color w:val="000000"/>
                <w:sz w:val="16"/>
                <w:szCs w:val="16"/>
              </w:rPr>
              <w:t xml:space="preserve">In other words, if today we may struggle with the question "why go to iDigBio if </w:t>
            </w:r>
            <w:proofErr w:type="spellStart"/>
            <w:r w:rsidRPr="003D2662">
              <w:rPr>
                <w:rFonts w:ascii="Calibri" w:eastAsia="Times New Roman" w:hAnsi="Calibri" w:cs="Times New Roman"/>
                <w:color w:val="000000"/>
                <w:sz w:val="16"/>
                <w:szCs w:val="16"/>
              </w:rPr>
              <w:t>GBIF</w:t>
            </w:r>
            <w:proofErr w:type="spellEnd"/>
            <w:r w:rsidRPr="003D2662">
              <w:rPr>
                <w:rFonts w:ascii="Calibri" w:eastAsia="Times New Roman" w:hAnsi="Calibri" w:cs="Times New Roman"/>
                <w:color w:val="000000"/>
                <w:sz w:val="16"/>
                <w:szCs w:val="16"/>
              </w:rPr>
              <w:t xml:space="preserve"> has most of the data", in years 6-10 can we turn it around and the question is "why go to </w:t>
            </w:r>
            <w:proofErr w:type="spellStart"/>
            <w:r w:rsidRPr="003D2662">
              <w:rPr>
                <w:rFonts w:ascii="Calibri" w:eastAsia="Times New Roman" w:hAnsi="Calibri" w:cs="Times New Roman"/>
                <w:color w:val="000000"/>
                <w:sz w:val="16"/>
                <w:szCs w:val="16"/>
              </w:rPr>
              <w:t>GBIF</w:t>
            </w:r>
            <w:proofErr w:type="spellEnd"/>
            <w:r w:rsidRPr="003D2662">
              <w:rPr>
                <w:rFonts w:ascii="Calibri" w:eastAsia="Times New Roman" w:hAnsi="Calibri" w:cs="Times New Roman"/>
                <w:color w:val="000000"/>
                <w:sz w:val="16"/>
                <w:szCs w:val="16"/>
              </w:rPr>
              <w:t xml:space="preserve"> if all it has is data but no workflows to process the data".</w:t>
            </w:r>
            <w:proofErr w:type="gramEnd"/>
          </w:p>
        </w:tc>
      </w:tr>
      <w:tr w:rsidR="003D2662" w:rsidRPr="003D2662" w:rsidTr="003D2662">
        <w:trPr>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proofErr w:type="gramStart"/>
            <w:r w:rsidRPr="003D2662">
              <w:rPr>
                <w:rFonts w:ascii="Calibri" w:eastAsia="Times New Roman" w:hAnsi="Calibri" w:cs="Times New Roman"/>
                <w:color w:val="000000"/>
                <w:sz w:val="16"/>
                <w:szCs w:val="16"/>
              </w:rPr>
              <w:t>Evaluation of the impact of IDIGBIO on the community.</w:t>
            </w:r>
            <w:proofErr w:type="gramEnd"/>
            <w:r w:rsidRPr="003D2662">
              <w:rPr>
                <w:rFonts w:ascii="Calibri" w:eastAsia="Times New Roman" w:hAnsi="Calibri" w:cs="Times New Roman"/>
                <w:color w:val="000000"/>
                <w:sz w:val="16"/>
                <w:szCs w:val="16"/>
              </w:rPr>
              <w:t xml:space="preserve"> </w:t>
            </w:r>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 xml:space="preserve">Engage community in using the data, having the </w:t>
            </w:r>
            <w:proofErr w:type="spellStart"/>
            <w:r w:rsidRPr="003D2662">
              <w:rPr>
                <w:rFonts w:ascii="Calibri" w:eastAsia="Times New Roman" w:hAnsi="Calibri" w:cs="Times New Roman"/>
                <w:color w:val="000000"/>
                <w:sz w:val="16"/>
                <w:szCs w:val="16"/>
              </w:rPr>
              <w:t>caroussel</w:t>
            </w:r>
            <w:proofErr w:type="spellEnd"/>
            <w:r w:rsidRPr="003D2662">
              <w:rPr>
                <w:rFonts w:ascii="Calibri" w:eastAsia="Times New Roman" w:hAnsi="Calibri" w:cs="Times New Roman"/>
                <w:color w:val="000000"/>
                <w:sz w:val="16"/>
                <w:szCs w:val="16"/>
              </w:rPr>
              <w:t xml:space="preserve"> of uses is a great idea. Also, educational outreach could improve/strengthen</w:t>
            </w:r>
          </w:p>
        </w:tc>
      </w:tr>
      <w:tr w:rsidR="003D2662" w:rsidRPr="003D2662" w:rsidTr="003D2662">
        <w:trPr>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proofErr w:type="gramStart"/>
            <w:r w:rsidRPr="003D2662">
              <w:rPr>
                <w:rFonts w:ascii="Calibri" w:eastAsia="Times New Roman" w:hAnsi="Calibri" w:cs="Times New Roman"/>
                <w:color w:val="000000"/>
                <w:sz w:val="16"/>
                <w:szCs w:val="16"/>
              </w:rPr>
              <w:t>Sustainability.</w:t>
            </w:r>
            <w:proofErr w:type="gramEnd"/>
            <w:r w:rsidRPr="003D2662">
              <w:rPr>
                <w:rFonts w:ascii="Calibri" w:eastAsia="Times New Roman" w:hAnsi="Calibri" w:cs="Times New Roman"/>
                <w:color w:val="000000"/>
                <w:sz w:val="16"/>
                <w:szCs w:val="16"/>
              </w:rPr>
              <w:t xml:space="preserve"> We should NOT assume that NSF </w:t>
            </w:r>
            <w:proofErr w:type="gramStart"/>
            <w:r w:rsidRPr="003D2662">
              <w:rPr>
                <w:rFonts w:ascii="Calibri" w:eastAsia="Times New Roman" w:hAnsi="Calibri" w:cs="Times New Roman"/>
                <w:color w:val="000000"/>
                <w:sz w:val="16"/>
                <w:szCs w:val="16"/>
              </w:rPr>
              <w:t>will</w:t>
            </w:r>
            <w:proofErr w:type="gramEnd"/>
            <w:r w:rsidRPr="003D2662">
              <w:rPr>
                <w:rFonts w:ascii="Calibri" w:eastAsia="Times New Roman" w:hAnsi="Calibri" w:cs="Times New Roman"/>
                <w:color w:val="000000"/>
                <w:sz w:val="16"/>
                <w:szCs w:val="16"/>
              </w:rPr>
              <w:t xml:space="preserve"> keep finding us just because they like us now. We should take responsibility now to create a sustainability proposition that could also apply to other, sister projects, e.g., Specify. For example, any project that applies to </w:t>
            </w:r>
            <w:proofErr w:type="spellStart"/>
            <w:r w:rsidRPr="003D2662">
              <w:rPr>
                <w:rFonts w:ascii="Calibri" w:eastAsia="Times New Roman" w:hAnsi="Calibri" w:cs="Times New Roman"/>
                <w:color w:val="000000"/>
                <w:sz w:val="16"/>
                <w:szCs w:val="16"/>
              </w:rPr>
              <w:t>ADBC</w:t>
            </w:r>
            <w:proofErr w:type="spellEnd"/>
            <w:r w:rsidRPr="003D2662">
              <w:rPr>
                <w:rFonts w:ascii="Calibri" w:eastAsia="Times New Roman" w:hAnsi="Calibri" w:cs="Times New Roman"/>
                <w:color w:val="000000"/>
                <w:sz w:val="16"/>
                <w:szCs w:val="16"/>
              </w:rPr>
              <w:t xml:space="preserve"> would include funding for iDigBio. Do we know what our budget would be to </w:t>
            </w:r>
            <w:proofErr w:type="gramStart"/>
            <w:r w:rsidRPr="003D2662">
              <w:rPr>
                <w:rFonts w:ascii="Calibri" w:eastAsia="Times New Roman" w:hAnsi="Calibri" w:cs="Times New Roman"/>
                <w:color w:val="000000"/>
                <w:sz w:val="16"/>
                <w:szCs w:val="16"/>
              </w:rPr>
              <w:t>be sustained</w:t>
            </w:r>
            <w:proofErr w:type="gramEnd"/>
            <w:r w:rsidRPr="003D2662">
              <w:rPr>
                <w:rFonts w:ascii="Calibri" w:eastAsia="Times New Roman" w:hAnsi="Calibri" w:cs="Times New Roman"/>
                <w:color w:val="000000"/>
                <w:sz w:val="16"/>
                <w:szCs w:val="16"/>
              </w:rPr>
              <w:t>?</w:t>
            </w:r>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proofErr w:type="gramStart"/>
            <w:r w:rsidRPr="003D2662">
              <w:rPr>
                <w:rFonts w:ascii="Calibri" w:eastAsia="Times New Roman" w:hAnsi="Calibri" w:cs="Times New Roman"/>
                <w:color w:val="000000"/>
                <w:sz w:val="16"/>
                <w:szCs w:val="16"/>
              </w:rPr>
              <w:t>Serving the research community.</w:t>
            </w:r>
            <w:proofErr w:type="gramEnd"/>
          </w:p>
        </w:tc>
      </w:tr>
      <w:tr w:rsidR="003D2662" w:rsidRPr="003D2662" w:rsidTr="003D2662">
        <w:trPr>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 xml:space="preserve">I strongly believe that iDigBio and its partners and associates would benefit from further demonstration of applications of the data that </w:t>
            </w:r>
            <w:proofErr w:type="gramStart"/>
            <w:r w:rsidRPr="003D2662">
              <w:rPr>
                <w:rFonts w:ascii="Calibri" w:eastAsia="Times New Roman" w:hAnsi="Calibri" w:cs="Times New Roman"/>
                <w:color w:val="000000"/>
                <w:sz w:val="16"/>
                <w:szCs w:val="16"/>
              </w:rPr>
              <w:t>are being digitized</w:t>
            </w:r>
            <w:proofErr w:type="gramEnd"/>
            <w:r w:rsidRPr="003D2662">
              <w:rPr>
                <w:rFonts w:ascii="Calibri" w:eastAsia="Times New Roman" w:hAnsi="Calibri" w:cs="Times New Roman"/>
                <w:color w:val="000000"/>
                <w:sz w:val="16"/>
                <w:szCs w:val="16"/>
              </w:rPr>
              <w:t xml:space="preserve">. It might be limited right now (though certainly not impossible), but as data continue to be digitized, more opportunities will be available for this work. The potential in these datasets is endless: in-depth analyses, long-term studies with geographic breadth, applications across taxa, and of course endless topical issues from </w:t>
            </w:r>
            <w:proofErr w:type="spellStart"/>
            <w:r w:rsidRPr="003D2662">
              <w:rPr>
                <w:rFonts w:ascii="Calibri" w:eastAsia="Times New Roman" w:hAnsi="Calibri" w:cs="Times New Roman"/>
                <w:color w:val="000000"/>
                <w:sz w:val="16"/>
                <w:szCs w:val="16"/>
              </w:rPr>
              <w:t>invasives</w:t>
            </w:r>
            <w:proofErr w:type="spellEnd"/>
            <w:r w:rsidRPr="003D2662">
              <w:rPr>
                <w:rFonts w:ascii="Calibri" w:eastAsia="Times New Roman" w:hAnsi="Calibri" w:cs="Times New Roman"/>
                <w:color w:val="000000"/>
                <w:sz w:val="16"/>
                <w:szCs w:val="16"/>
              </w:rPr>
              <w:t xml:space="preserve"> to climate to genetics to conservation, etc. </w:t>
            </w:r>
            <w:proofErr w:type="gramStart"/>
            <w:r w:rsidRPr="003D2662">
              <w:rPr>
                <w:rFonts w:ascii="Calibri" w:eastAsia="Times New Roman" w:hAnsi="Calibri" w:cs="Times New Roman"/>
                <w:color w:val="000000"/>
                <w:sz w:val="16"/>
                <w:szCs w:val="16"/>
              </w:rPr>
              <w:t>Demonstrating this can only help with sustainability, raising interest and awareness, making iDigBio an integral part of contemporary research and improving education and outreach.</w:t>
            </w:r>
            <w:proofErr w:type="gramEnd"/>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 xml:space="preserve">Changing the lack of emphasis on data reusability, attribution, </w:t>
            </w:r>
            <w:proofErr w:type="gramStart"/>
            <w:r w:rsidRPr="003D2662">
              <w:rPr>
                <w:rFonts w:ascii="Calibri" w:eastAsia="Times New Roman" w:hAnsi="Calibri" w:cs="Times New Roman"/>
                <w:color w:val="000000"/>
                <w:sz w:val="16"/>
                <w:szCs w:val="16"/>
              </w:rPr>
              <w:t>digitization</w:t>
            </w:r>
            <w:proofErr w:type="gramEnd"/>
            <w:r w:rsidRPr="003D2662">
              <w:rPr>
                <w:rFonts w:ascii="Calibri" w:eastAsia="Times New Roman" w:hAnsi="Calibri" w:cs="Times New Roman"/>
                <w:color w:val="000000"/>
                <w:sz w:val="16"/>
                <w:szCs w:val="16"/>
              </w:rPr>
              <w:t xml:space="preserve"> in biological sciences. Academia is a reputation-based system. Data should count towards reputation</w:t>
            </w:r>
            <w:proofErr w:type="gramStart"/>
            <w:r w:rsidRPr="003D2662">
              <w:rPr>
                <w:rFonts w:ascii="Calibri" w:eastAsia="Times New Roman" w:hAnsi="Calibri" w:cs="Times New Roman"/>
                <w:color w:val="000000"/>
                <w:sz w:val="16"/>
                <w:szCs w:val="16"/>
              </w:rPr>
              <w:t>;</w:t>
            </w:r>
            <w:proofErr w:type="gramEnd"/>
            <w:r w:rsidRPr="003D2662">
              <w:rPr>
                <w:rFonts w:ascii="Calibri" w:eastAsia="Times New Roman" w:hAnsi="Calibri" w:cs="Times New Roman"/>
                <w:color w:val="000000"/>
                <w:sz w:val="16"/>
                <w:szCs w:val="16"/>
              </w:rPr>
              <w:t xml:space="preserve"> not just textual publications of ever-more-incremental ideas.</w:t>
            </w:r>
          </w:p>
        </w:tc>
      </w:tr>
      <w:tr w:rsidR="003D2662" w:rsidRPr="003D2662" w:rsidTr="003D2662">
        <w:trPr>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Developing tutorials and workflows to make use of the data stored in iDigBio would be interesting to develop.</w:t>
            </w:r>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Promoting/enabling the use of massive amounts of digitized collections data for research, policy-making, and education</w:t>
            </w:r>
          </w:p>
        </w:tc>
      </w:tr>
      <w:tr w:rsidR="003D2662" w:rsidRPr="003D2662" w:rsidTr="003D2662">
        <w:trPr>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 xml:space="preserve">Increased focus on ability to support more complex, integrative research platforms (e.g., </w:t>
            </w:r>
            <w:proofErr w:type="spellStart"/>
            <w:r w:rsidRPr="003D2662">
              <w:rPr>
                <w:rFonts w:ascii="Calibri" w:eastAsia="Times New Roman" w:hAnsi="Calibri" w:cs="Times New Roman"/>
                <w:color w:val="000000"/>
                <w:sz w:val="16"/>
                <w:szCs w:val="16"/>
              </w:rPr>
              <w:t>PhyloJive</w:t>
            </w:r>
            <w:proofErr w:type="spellEnd"/>
            <w:r w:rsidRPr="003D2662">
              <w:rPr>
                <w:rFonts w:ascii="Calibri" w:eastAsia="Times New Roman" w:hAnsi="Calibri" w:cs="Times New Roman"/>
                <w:color w:val="000000"/>
                <w:sz w:val="16"/>
                <w:szCs w:val="16"/>
              </w:rPr>
              <w:t xml:space="preserve">, </w:t>
            </w:r>
            <w:proofErr w:type="spellStart"/>
            <w:r w:rsidRPr="003D2662">
              <w:rPr>
                <w:rFonts w:ascii="Calibri" w:eastAsia="Times New Roman" w:hAnsi="Calibri" w:cs="Times New Roman"/>
                <w:color w:val="000000"/>
                <w:sz w:val="16"/>
                <w:szCs w:val="16"/>
              </w:rPr>
              <w:t>Lifemapper</w:t>
            </w:r>
            <w:proofErr w:type="spellEnd"/>
            <w:r w:rsidRPr="003D2662">
              <w:rPr>
                <w:rFonts w:ascii="Calibri" w:eastAsia="Times New Roman" w:hAnsi="Calibri" w:cs="Times New Roman"/>
                <w:color w:val="000000"/>
                <w:sz w:val="16"/>
                <w:szCs w:val="16"/>
              </w:rPr>
              <w:t xml:space="preserve">, </w:t>
            </w:r>
            <w:proofErr w:type="spellStart"/>
            <w:r w:rsidRPr="003D2662">
              <w:rPr>
                <w:rFonts w:ascii="Calibri" w:eastAsia="Times New Roman" w:hAnsi="Calibri" w:cs="Times New Roman"/>
                <w:color w:val="000000"/>
                <w:sz w:val="16"/>
                <w:szCs w:val="16"/>
              </w:rPr>
              <w:t>WhatFishDidIJustEat</w:t>
            </w:r>
            <w:proofErr w:type="spellEnd"/>
            <w:proofErr w:type="gramStart"/>
            <w:r w:rsidRPr="003D2662">
              <w:rPr>
                <w:rFonts w:ascii="Calibri" w:eastAsia="Times New Roman" w:hAnsi="Calibri" w:cs="Times New Roman"/>
                <w:color w:val="000000"/>
                <w:sz w:val="16"/>
                <w:szCs w:val="16"/>
              </w:rPr>
              <w:t>?,</w:t>
            </w:r>
            <w:proofErr w:type="gramEnd"/>
            <w:r w:rsidRPr="003D2662">
              <w:rPr>
                <w:rFonts w:ascii="Calibri" w:eastAsia="Times New Roman" w:hAnsi="Calibri" w:cs="Times New Roman"/>
                <w:color w:val="000000"/>
                <w:sz w:val="16"/>
                <w:szCs w:val="16"/>
              </w:rPr>
              <w:t xml:space="preserve"> quantifying ecosystem services) that in turn can rely on iDigBio as a gold standard for voucher data.  We </w:t>
            </w:r>
            <w:proofErr w:type="gramStart"/>
            <w:r w:rsidRPr="003D2662">
              <w:rPr>
                <w:rFonts w:ascii="Calibri" w:eastAsia="Times New Roman" w:hAnsi="Calibri" w:cs="Times New Roman"/>
                <w:color w:val="000000"/>
                <w:sz w:val="16"/>
                <w:szCs w:val="16"/>
              </w:rPr>
              <w:t>don’t</w:t>
            </w:r>
            <w:proofErr w:type="gramEnd"/>
            <w:r w:rsidRPr="003D2662">
              <w:rPr>
                <w:rFonts w:ascii="Calibri" w:eastAsia="Times New Roman" w:hAnsi="Calibri" w:cs="Times New Roman"/>
                <w:color w:val="000000"/>
                <w:sz w:val="16"/>
                <w:szCs w:val="16"/>
              </w:rPr>
              <w:t xml:space="preserve"> need to develop these applications in house, but we do need to provide a straight forward API and other reliable services.  One </w:t>
            </w:r>
            <w:proofErr w:type="gramStart"/>
            <w:r w:rsidRPr="003D2662">
              <w:rPr>
                <w:rFonts w:ascii="Calibri" w:eastAsia="Times New Roman" w:hAnsi="Calibri" w:cs="Times New Roman"/>
                <w:color w:val="000000"/>
                <w:sz w:val="16"/>
                <w:szCs w:val="16"/>
              </w:rPr>
              <w:t>measure</w:t>
            </w:r>
            <w:proofErr w:type="gramEnd"/>
            <w:r w:rsidRPr="003D2662">
              <w:rPr>
                <w:rFonts w:ascii="Calibri" w:eastAsia="Times New Roman" w:hAnsi="Calibri" w:cs="Times New Roman"/>
                <w:color w:val="000000"/>
                <w:sz w:val="16"/>
                <w:szCs w:val="16"/>
              </w:rPr>
              <w:t xml:space="preserve"> of success might be </w:t>
            </w:r>
            <w:proofErr w:type="gramStart"/>
            <w:r w:rsidRPr="003D2662">
              <w:rPr>
                <w:rFonts w:ascii="Calibri" w:eastAsia="Times New Roman" w:hAnsi="Calibri" w:cs="Times New Roman"/>
                <w:color w:val="000000"/>
                <w:sz w:val="16"/>
                <w:szCs w:val="16"/>
              </w:rPr>
              <w:t>when</w:t>
            </w:r>
            <w:proofErr w:type="gramEnd"/>
            <w:r w:rsidRPr="003D2662">
              <w:rPr>
                <w:rFonts w:ascii="Calibri" w:eastAsia="Times New Roman" w:hAnsi="Calibri" w:cs="Times New Roman"/>
                <w:color w:val="000000"/>
                <w:sz w:val="16"/>
                <w:szCs w:val="16"/>
              </w:rPr>
              <w:t xml:space="preserve"> </w:t>
            </w:r>
            <w:proofErr w:type="spellStart"/>
            <w:r w:rsidRPr="003D2662">
              <w:rPr>
                <w:rFonts w:ascii="Calibri" w:eastAsia="Times New Roman" w:hAnsi="Calibri" w:cs="Times New Roman"/>
                <w:color w:val="000000"/>
                <w:sz w:val="16"/>
                <w:szCs w:val="16"/>
              </w:rPr>
              <w:t>GenBank</w:t>
            </w:r>
            <w:proofErr w:type="spellEnd"/>
            <w:r w:rsidRPr="003D2662">
              <w:rPr>
                <w:rFonts w:ascii="Calibri" w:eastAsia="Times New Roman" w:hAnsi="Calibri" w:cs="Times New Roman"/>
                <w:color w:val="000000"/>
                <w:sz w:val="16"/>
                <w:szCs w:val="16"/>
              </w:rPr>
              <w:t xml:space="preserve"> exposes or requires an </w:t>
            </w:r>
            <w:proofErr w:type="spellStart"/>
            <w:r w:rsidRPr="003D2662">
              <w:rPr>
                <w:rFonts w:ascii="Calibri" w:eastAsia="Times New Roman" w:hAnsi="Calibri" w:cs="Times New Roman"/>
                <w:color w:val="000000"/>
                <w:sz w:val="16"/>
                <w:szCs w:val="16"/>
              </w:rPr>
              <w:t>iDigBioID</w:t>
            </w:r>
            <w:proofErr w:type="spellEnd"/>
            <w:r w:rsidRPr="003D2662">
              <w:rPr>
                <w:rFonts w:ascii="Calibri" w:eastAsia="Times New Roman" w:hAnsi="Calibri" w:cs="Times New Roman"/>
                <w:color w:val="000000"/>
                <w:sz w:val="16"/>
                <w:szCs w:val="16"/>
              </w:rPr>
              <w:t xml:space="preserve"> as their preferred way to link to vouchers. </w:t>
            </w:r>
          </w:p>
        </w:tc>
      </w:tr>
      <w:tr w:rsidR="003D2662" w:rsidRPr="003D2662" w:rsidTr="003D2662">
        <w:trPr>
          <w:cnfStyle w:val="000000100000" w:firstRow="0" w:lastRow="0" w:firstColumn="0" w:lastColumn="0" w:oddVBand="0" w:evenVBand="0" w:oddHBand="1" w:evenHBand="0" w:firstRowFirstColumn="0" w:firstRowLastColumn="0" w:lastRowFirstColumn="0" w:lastRowLastColumn="0"/>
          <w:cantSplit/>
        </w:trPr>
        <w:tc>
          <w:tcPr>
            <w:tcW w:w="9540" w:type="dxa"/>
            <w:hideMark/>
          </w:tcPr>
          <w:p w:rsidR="003D2662" w:rsidRPr="003D2662" w:rsidRDefault="003D2662" w:rsidP="003D2662">
            <w:pPr>
              <w:rPr>
                <w:rFonts w:ascii="Calibri" w:eastAsia="Times New Roman" w:hAnsi="Calibri" w:cs="Times New Roman"/>
                <w:color w:val="000000"/>
                <w:sz w:val="16"/>
                <w:szCs w:val="16"/>
              </w:rPr>
            </w:pPr>
            <w:r w:rsidRPr="003D2662">
              <w:rPr>
                <w:rFonts w:ascii="Calibri" w:eastAsia="Times New Roman" w:hAnsi="Calibri" w:cs="Times New Roman"/>
                <w:color w:val="000000"/>
                <w:sz w:val="16"/>
                <w:szCs w:val="16"/>
              </w:rPr>
              <w:t xml:space="preserve">Focus on sustainability, i.e., coordinating better with developments from other groups and from </w:t>
            </w:r>
            <w:proofErr w:type="spellStart"/>
            <w:r w:rsidRPr="003D2662">
              <w:rPr>
                <w:rFonts w:ascii="Calibri" w:eastAsia="Times New Roman" w:hAnsi="Calibri" w:cs="Times New Roman"/>
                <w:color w:val="000000"/>
                <w:sz w:val="16"/>
                <w:szCs w:val="16"/>
              </w:rPr>
              <w:t>TCNs</w:t>
            </w:r>
            <w:proofErr w:type="spellEnd"/>
            <w:r w:rsidRPr="003D2662">
              <w:rPr>
                <w:rFonts w:ascii="Calibri" w:eastAsia="Times New Roman" w:hAnsi="Calibri" w:cs="Times New Roman"/>
                <w:color w:val="000000"/>
                <w:sz w:val="16"/>
                <w:szCs w:val="16"/>
              </w:rPr>
              <w:t xml:space="preserve"> (minimizing duplication), making it easier for others to leverage iDigBio data and services (people will depend on iDigBio existence), creating a roadmap for good ideas/tools from </w:t>
            </w:r>
            <w:proofErr w:type="spellStart"/>
            <w:r w:rsidRPr="003D2662">
              <w:rPr>
                <w:rFonts w:ascii="Calibri" w:eastAsia="Times New Roman" w:hAnsi="Calibri" w:cs="Times New Roman"/>
                <w:color w:val="000000"/>
                <w:sz w:val="16"/>
                <w:szCs w:val="16"/>
              </w:rPr>
              <w:t>TCNs</w:t>
            </w:r>
            <w:proofErr w:type="spellEnd"/>
            <w:r w:rsidRPr="003D2662">
              <w:rPr>
                <w:rFonts w:ascii="Calibri" w:eastAsia="Times New Roman" w:hAnsi="Calibri" w:cs="Times New Roman"/>
                <w:color w:val="000000"/>
                <w:sz w:val="16"/>
                <w:szCs w:val="16"/>
              </w:rPr>
              <w:t xml:space="preserve"> to be disseminated and also become sustainable, and creating opportunities for others to contribute code or services,</w:t>
            </w:r>
          </w:p>
        </w:tc>
      </w:tr>
      <w:tr w:rsidR="003D2662" w:rsidRPr="003D2662" w:rsidTr="003D2662">
        <w:trPr>
          <w:cantSplit/>
        </w:trPr>
        <w:tc>
          <w:tcPr>
            <w:tcW w:w="9540" w:type="dxa"/>
            <w:hideMark/>
          </w:tcPr>
          <w:p w:rsidR="003D2662" w:rsidRPr="003D2662" w:rsidRDefault="003D2662" w:rsidP="00CB67BF">
            <w:pPr>
              <w:spacing w:after="240"/>
              <w:rPr>
                <w:rFonts w:ascii="Calibri" w:eastAsia="Times New Roman" w:hAnsi="Calibri" w:cs="Times New Roman"/>
                <w:color w:val="000000"/>
                <w:sz w:val="16"/>
                <w:szCs w:val="16"/>
              </w:rPr>
            </w:pPr>
            <w:proofErr w:type="gramStart"/>
            <w:r w:rsidRPr="003D2662">
              <w:rPr>
                <w:rFonts w:ascii="Calibri" w:eastAsia="Times New Roman" w:hAnsi="Calibri" w:cs="Times New Roman"/>
                <w:color w:val="000000"/>
                <w:sz w:val="16"/>
                <w:szCs w:val="16"/>
              </w:rPr>
              <w:lastRenderedPageBreak/>
              <w:t>Data.</w:t>
            </w:r>
            <w:proofErr w:type="gramEnd"/>
            <w:r w:rsidRPr="003D2662">
              <w:rPr>
                <w:rFonts w:ascii="Calibri" w:eastAsia="Times New Roman" w:hAnsi="Calibri" w:cs="Times New Roman"/>
                <w:color w:val="000000"/>
                <w:sz w:val="16"/>
                <w:szCs w:val="16"/>
              </w:rPr>
              <w:t xml:space="preserve"> Make the data life cycle easier to traverse and the subsequent data easier to discover.</w:t>
            </w:r>
            <w:r w:rsidRPr="003D2662">
              <w:rPr>
                <w:rFonts w:ascii="Calibri" w:eastAsia="Times New Roman" w:hAnsi="Calibri" w:cs="Times New Roman"/>
                <w:color w:val="000000"/>
                <w:sz w:val="16"/>
                <w:szCs w:val="16"/>
              </w:rPr>
              <w:br/>
            </w:r>
            <w:r w:rsidRPr="003D2662">
              <w:rPr>
                <w:rFonts w:ascii="Calibri" w:eastAsia="Times New Roman" w:hAnsi="Calibri" w:cs="Times New Roman"/>
                <w:color w:val="000000"/>
                <w:sz w:val="16"/>
                <w:szCs w:val="16"/>
              </w:rPr>
              <w:br/>
              <w:t>What more can we do to</w:t>
            </w:r>
            <w:proofErr w:type="gramStart"/>
            <w:r w:rsidRPr="003D2662">
              <w:rPr>
                <w:rFonts w:ascii="Calibri" w:eastAsia="Times New Roman" w:hAnsi="Calibri" w:cs="Times New Roman"/>
                <w:color w:val="000000"/>
                <w:sz w:val="16"/>
                <w:szCs w:val="16"/>
              </w:rPr>
              <w:t>:</w:t>
            </w:r>
            <w:proofErr w:type="gramEnd"/>
            <w:r w:rsidRPr="003D2662">
              <w:rPr>
                <w:rFonts w:ascii="Calibri" w:eastAsia="Times New Roman" w:hAnsi="Calibri" w:cs="Times New Roman"/>
                <w:color w:val="000000"/>
                <w:sz w:val="16"/>
                <w:szCs w:val="16"/>
              </w:rPr>
              <w:br/>
            </w:r>
            <w:r w:rsidRPr="003D2662">
              <w:rPr>
                <w:rFonts w:ascii="Calibri" w:eastAsia="Times New Roman" w:hAnsi="Calibri" w:cs="Times New Roman"/>
                <w:color w:val="000000"/>
                <w:sz w:val="16"/>
                <w:szCs w:val="16"/>
              </w:rPr>
              <w:br/>
              <w:t xml:space="preserve">1. make providing data easier? [support efforts to improve the </w:t>
            </w:r>
            <w:proofErr w:type="spellStart"/>
            <w:r w:rsidRPr="003D2662">
              <w:rPr>
                <w:rFonts w:ascii="Calibri" w:eastAsia="Times New Roman" w:hAnsi="Calibri" w:cs="Times New Roman"/>
                <w:color w:val="000000"/>
                <w:sz w:val="16"/>
                <w:szCs w:val="16"/>
              </w:rPr>
              <w:t>IPT</w:t>
            </w:r>
            <w:proofErr w:type="spellEnd"/>
            <w:r w:rsidRPr="003D2662">
              <w:rPr>
                <w:rFonts w:ascii="Calibri" w:eastAsia="Times New Roman" w:hAnsi="Calibri" w:cs="Times New Roman"/>
                <w:color w:val="000000"/>
                <w:sz w:val="16"/>
                <w:szCs w:val="16"/>
              </w:rPr>
              <w:t xml:space="preserve"> and go beyond it]</w:t>
            </w:r>
            <w:r w:rsidRPr="003D2662">
              <w:rPr>
                <w:rFonts w:ascii="Calibri" w:eastAsia="Times New Roman" w:hAnsi="Calibri" w:cs="Times New Roman"/>
                <w:color w:val="000000"/>
                <w:sz w:val="16"/>
                <w:szCs w:val="16"/>
              </w:rPr>
              <w:br/>
            </w:r>
            <w:r w:rsidRPr="003D2662">
              <w:rPr>
                <w:rFonts w:ascii="Calibri" w:eastAsia="Times New Roman" w:hAnsi="Calibri" w:cs="Times New Roman"/>
                <w:color w:val="000000"/>
                <w:sz w:val="16"/>
                <w:szCs w:val="16"/>
              </w:rPr>
              <w:br/>
              <w:t xml:space="preserve">2. </w:t>
            </w:r>
            <w:proofErr w:type="gramStart"/>
            <w:r w:rsidRPr="003D2662">
              <w:rPr>
                <w:rFonts w:ascii="Calibri" w:eastAsia="Times New Roman" w:hAnsi="Calibri" w:cs="Times New Roman"/>
                <w:color w:val="000000"/>
                <w:sz w:val="16"/>
                <w:szCs w:val="16"/>
              </w:rPr>
              <w:t>make</w:t>
            </w:r>
            <w:proofErr w:type="gramEnd"/>
            <w:r w:rsidRPr="003D2662">
              <w:rPr>
                <w:rFonts w:ascii="Calibri" w:eastAsia="Times New Roman" w:hAnsi="Calibri" w:cs="Times New Roman"/>
                <w:color w:val="000000"/>
                <w:sz w:val="16"/>
                <w:szCs w:val="16"/>
              </w:rPr>
              <w:t xml:space="preserve"> citation seamless [develop this, in harmony with other projects]</w:t>
            </w:r>
            <w:r w:rsidRPr="003D2662">
              <w:rPr>
                <w:rFonts w:ascii="Calibri" w:eastAsia="Times New Roman" w:hAnsi="Calibri" w:cs="Times New Roman"/>
                <w:color w:val="000000"/>
                <w:sz w:val="16"/>
                <w:szCs w:val="16"/>
              </w:rPr>
              <w:br/>
            </w:r>
            <w:r w:rsidRPr="003D2662">
              <w:rPr>
                <w:rFonts w:ascii="Calibri" w:eastAsia="Times New Roman" w:hAnsi="Calibri" w:cs="Times New Roman"/>
                <w:color w:val="000000"/>
                <w:sz w:val="16"/>
                <w:szCs w:val="16"/>
              </w:rPr>
              <w:br/>
              <w:t xml:space="preserve">3. </w:t>
            </w:r>
            <w:proofErr w:type="gramStart"/>
            <w:r w:rsidRPr="003D2662">
              <w:rPr>
                <w:rFonts w:ascii="Calibri" w:eastAsia="Times New Roman" w:hAnsi="Calibri" w:cs="Times New Roman"/>
                <w:color w:val="000000"/>
                <w:sz w:val="16"/>
                <w:szCs w:val="16"/>
              </w:rPr>
              <w:t>make</w:t>
            </w:r>
            <w:proofErr w:type="gramEnd"/>
            <w:r w:rsidRPr="003D2662">
              <w:rPr>
                <w:rFonts w:ascii="Calibri" w:eastAsia="Times New Roman" w:hAnsi="Calibri" w:cs="Times New Roman"/>
                <w:color w:val="000000"/>
                <w:sz w:val="16"/>
                <w:szCs w:val="16"/>
              </w:rPr>
              <w:t xml:space="preserve"> feedback to providers transparent (everyone can see the process and work on it together)</w:t>
            </w:r>
            <w:r w:rsidRPr="003D2662">
              <w:rPr>
                <w:rFonts w:ascii="Calibri" w:eastAsia="Times New Roman" w:hAnsi="Calibri" w:cs="Times New Roman"/>
                <w:color w:val="000000"/>
                <w:sz w:val="16"/>
                <w:szCs w:val="16"/>
              </w:rPr>
              <w:br/>
            </w:r>
            <w:bookmarkStart w:id="0" w:name="_GoBack"/>
            <w:bookmarkEnd w:id="0"/>
            <w:r w:rsidRPr="003D2662">
              <w:rPr>
                <w:rFonts w:ascii="Calibri" w:eastAsia="Times New Roman" w:hAnsi="Calibri" w:cs="Times New Roman"/>
                <w:color w:val="000000"/>
                <w:sz w:val="16"/>
                <w:szCs w:val="16"/>
              </w:rPr>
              <w:br/>
              <w:t xml:space="preserve">4. </w:t>
            </w:r>
            <w:proofErr w:type="gramStart"/>
            <w:r w:rsidRPr="003D2662">
              <w:rPr>
                <w:rFonts w:ascii="Calibri" w:eastAsia="Times New Roman" w:hAnsi="Calibri" w:cs="Times New Roman"/>
                <w:color w:val="000000"/>
                <w:sz w:val="16"/>
                <w:szCs w:val="16"/>
              </w:rPr>
              <w:t>make</w:t>
            </w:r>
            <w:proofErr w:type="gramEnd"/>
            <w:r w:rsidRPr="003D2662">
              <w:rPr>
                <w:rFonts w:ascii="Calibri" w:eastAsia="Times New Roman" w:hAnsi="Calibri" w:cs="Times New Roman"/>
                <w:color w:val="000000"/>
                <w:sz w:val="16"/>
                <w:szCs w:val="16"/>
              </w:rPr>
              <w:t xml:space="preserve"> annotation of our specimens and images - a reality</w:t>
            </w:r>
            <w:r w:rsidRPr="003D2662">
              <w:rPr>
                <w:rFonts w:ascii="Calibri" w:eastAsia="Times New Roman" w:hAnsi="Calibri" w:cs="Times New Roman"/>
                <w:color w:val="000000"/>
                <w:sz w:val="16"/>
                <w:szCs w:val="16"/>
              </w:rPr>
              <w:br/>
            </w:r>
            <w:r w:rsidRPr="003D2662">
              <w:rPr>
                <w:rFonts w:ascii="Calibri" w:eastAsia="Times New Roman" w:hAnsi="Calibri" w:cs="Times New Roman"/>
                <w:color w:val="000000"/>
                <w:sz w:val="16"/>
                <w:szCs w:val="16"/>
              </w:rPr>
              <w:br/>
              <w:t xml:space="preserve">5. </w:t>
            </w:r>
            <w:proofErr w:type="gramStart"/>
            <w:r w:rsidRPr="003D2662">
              <w:rPr>
                <w:rFonts w:ascii="Calibri" w:eastAsia="Times New Roman" w:hAnsi="Calibri" w:cs="Times New Roman"/>
                <w:color w:val="000000"/>
                <w:sz w:val="16"/>
                <w:szCs w:val="16"/>
              </w:rPr>
              <w:t>aid</w:t>
            </w:r>
            <w:proofErr w:type="gramEnd"/>
            <w:r w:rsidRPr="003D2662">
              <w:rPr>
                <w:rFonts w:ascii="Calibri" w:eastAsia="Times New Roman" w:hAnsi="Calibri" w:cs="Times New Roman"/>
                <w:color w:val="000000"/>
                <w:sz w:val="16"/>
                <w:szCs w:val="16"/>
              </w:rPr>
              <w:t xml:space="preserve"> discoverability of our data [seek expertise here, add common names where we can].</w:t>
            </w:r>
          </w:p>
        </w:tc>
      </w:tr>
    </w:tbl>
    <w:p w:rsidR="003D2662" w:rsidRPr="00E76C4A" w:rsidRDefault="003D2662" w:rsidP="000E445C"/>
    <w:sectPr w:rsidR="003D2662" w:rsidRPr="00E76C4A" w:rsidSect="000E445C">
      <w:headerReference w:type="default" r:id="rId8"/>
      <w:footerReference w:type="default" r:id="rId9"/>
      <w:headerReference w:type="first" r:id="rId10"/>
      <w:footerReference w:type="first" r:id="rId11"/>
      <w:pgSz w:w="12240" w:h="15840" w:code="1"/>
      <w:pgMar w:top="2016" w:right="1440" w:bottom="1008" w:left="1440" w:header="72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5C" w:rsidRDefault="000E445C" w:rsidP="00F06056">
      <w:pPr>
        <w:spacing w:after="0" w:line="240" w:lineRule="auto"/>
      </w:pPr>
      <w:r>
        <w:separator/>
      </w:r>
    </w:p>
  </w:endnote>
  <w:endnote w:type="continuationSeparator" w:id="0">
    <w:p w:rsidR="000E445C" w:rsidRDefault="000E445C" w:rsidP="00F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208761"/>
      <w:docPartObj>
        <w:docPartGallery w:val="Page Numbers (Bottom of Page)"/>
        <w:docPartUnique/>
      </w:docPartObj>
    </w:sdtPr>
    <w:sdtEndPr/>
    <w:sdtContent>
      <w:sdt>
        <w:sdtPr>
          <w:id w:val="-1669238322"/>
          <w:docPartObj>
            <w:docPartGallery w:val="Page Numbers (Top of Page)"/>
            <w:docPartUnique/>
          </w:docPartObj>
        </w:sdtPr>
        <w:sdtEndPr/>
        <w:sdtContent>
          <w:p w:rsidR="00A67E21" w:rsidRPr="005D2349" w:rsidRDefault="00CB67BF" w:rsidP="00A67E21">
            <w:pPr>
              <w:pStyle w:val="Footer"/>
              <w:rPr>
                <w:sz w:val="16"/>
                <w:szCs w:val="16"/>
              </w:rPr>
            </w:pPr>
            <w:r>
              <w:rPr>
                <w:sz w:val="16"/>
                <w:szCs w:val="16"/>
              </w:rPr>
              <w:pict w14:anchorId="275F9AF8">
                <v:rect id="_x0000_i1026" style="width:468pt;height:.5pt;mso-position-vertical:absolute" o:hralign="center" o:hrstd="t" o:hrnoshade="t" o:hr="t" fillcolor="#a0a0a0" stroked="f"/>
              </w:pict>
            </w:r>
          </w:p>
          <w:p w:rsidR="00A67E21" w:rsidRDefault="00A67E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67B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67BF">
              <w:rPr>
                <w:b/>
                <w:bCs/>
                <w:noProof/>
              </w:rPr>
              <w:t>2</w:t>
            </w:r>
            <w:r>
              <w:rPr>
                <w:b/>
                <w:bCs/>
                <w:sz w:val="24"/>
                <w:szCs w:val="24"/>
              </w:rPr>
              <w:fldChar w:fldCharType="end"/>
            </w:r>
          </w:p>
        </w:sdtContent>
      </w:sdt>
    </w:sdtContent>
  </w:sdt>
  <w:p w:rsidR="00F06056" w:rsidRPr="00A67E21" w:rsidRDefault="00F06056" w:rsidP="00A67E21">
    <w:pPr>
      <w:pStyle w:val="Footer"/>
      <w:spacing w:after="120"/>
      <w:jc w:val="center"/>
      <w:rPr>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21" w:rsidRPr="005D2349" w:rsidRDefault="00CB67BF" w:rsidP="00A67E21">
    <w:pPr>
      <w:pStyle w:val="Footer"/>
      <w:rPr>
        <w:sz w:val="16"/>
        <w:szCs w:val="16"/>
      </w:rPr>
    </w:pPr>
    <w:r>
      <w:rPr>
        <w:sz w:val="16"/>
        <w:szCs w:val="16"/>
      </w:rPr>
      <w:pict w14:anchorId="11A8A98C">
        <v:rect id="_x0000_i1028" style="width:468pt;height:.5pt;mso-position-vertical:absolute" o:hralign="center" o:hrstd="t" o:hrnoshade="t" o:hr="t" fillcolor="#a0a0a0" stroked="f"/>
      </w:pict>
    </w:r>
  </w:p>
  <w:p w:rsidR="00A67E21" w:rsidRPr="005D2349" w:rsidRDefault="00A67E21" w:rsidP="00A67E21">
    <w:pPr>
      <w:pStyle w:val="Footer"/>
      <w:spacing w:before="120"/>
      <w:jc w:val="center"/>
      <w:rPr>
        <w:sz w:val="16"/>
        <w:szCs w:val="16"/>
      </w:rPr>
    </w:pPr>
    <w:r w:rsidRPr="005D2349">
      <w:rPr>
        <w:sz w:val="16"/>
        <w:szCs w:val="16"/>
      </w:rPr>
      <w:t>University of Florida • Florida Museum of Natural History • Dickinson Hall</w:t>
    </w:r>
    <w:r>
      <w:rPr>
        <w:sz w:val="16"/>
        <w:szCs w:val="16"/>
      </w:rPr>
      <w:t xml:space="preserve"> (Museum Rd. &amp; Newell Dr.)</w:t>
    </w:r>
    <w:r w:rsidRPr="005D2349">
      <w:rPr>
        <w:sz w:val="16"/>
        <w:szCs w:val="16"/>
      </w:rPr>
      <w:t xml:space="preserve"> • Gainesville, FL 32611 • 352-273-</w:t>
    </w:r>
    <w:r w:rsidR="009812A8">
      <w:rPr>
        <w:sz w:val="16"/>
        <w:szCs w:val="16"/>
      </w:rPr>
      <w:t>3698</w:t>
    </w:r>
  </w:p>
  <w:p w:rsidR="00A67E21" w:rsidRPr="004640EC" w:rsidRDefault="00A67E21" w:rsidP="00A67E21">
    <w:pPr>
      <w:pStyle w:val="Footer"/>
      <w:spacing w:after="120"/>
      <w:jc w:val="center"/>
      <w:rPr>
        <w:i/>
        <w:sz w:val="16"/>
        <w:szCs w:val="16"/>
      </w:rPr>
    </w:pPr>
    <w:proofErr w:type="gramStart"/>
    <w:r w:rsidRPr="004640EC">
      <w:rPr>
        <w:i/>
        <w:sz w:val="16"/>
        <w:szCs w:val="16"/>
      </w:rPr>
      <w:t>iDigBio</w:t>
    </w:r>
    <w:proofErr w:type="gramEnd"/>
    <w:r w:rsidRPr="004640EC">
      <w:rPr>
        <w:i/>
        <w:sz w:val="16"/>
        <w:szCs w:val="16"/>
      </w:rPr>
      <w:t xml:space="preserve"> is funded by a grant from the National Science Foundation's Advancing Digitization of Biodiversity Collections Program (#EF1115210)</w:t>
    </w:r>
  </w:p>
  <w:p w:rsidR="00A67E21" w:rsidRPr="00A67E21" w:rsidRDefault="00A67E21" w:rsidP="00A67E21">
    <w:pPr>
      <w:pStyle w:val="Footer"/>
      <w:jc w:val="center"/>
      <w:rPr>
        <w:sz w:val="16"/>
        <w:szCs w:val="16"/>
      </w:rPr>
    </w:pPr>
    <w:r w:rsidRPr="005D2349">
      <w:rPr>
        <w:noProof/>
        <w:sz w:val="16"/>
        <w:szCs w:val="16"/>
      </w:rPr>
      <w:drawing>
        <wp:anchor distT="0" distB="0" distL="114300" distR="114300" simplePos="0" relativeHeight="251663360" behindDoc="0" locked="0" layoutInCell="1" allowOverlap="1" wp14:anchorId="73BF9D76" wp14:editId="1908A9B0">
          <wp:simplePos x="0" y="0"/>
          <wp:positionH relativeFrom="column">
            <wp:posOffset>4292600</wp:posOffset>
          </wp:positionH>
          <wp:positionV relativeFrom="paragraph">
            <wp:posOffset>114300</wp:posOffset>
          </wp:positionV>
          <wp:extent cx="965200" cy="204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tro.png"/>
                  <pic:cNvPicPr/>
                </pic:nvPicPr>
                <pic:blipFill>
                  <a:blip r:embed="rId1">
                    <a:extLst>
                      <a:ext uri="{28A0092B-C50C-407E-A947-70E740481C1C}">
                        <a14:useLocalDpi xmlns:a14="http://schemas.microsoft.com/office/drawing/2010/main" val="0"/>
                      </a:ext>
                    </a:extLst>
                  </a:blip>
                  <a:stretch>
                    <a:fillRect/>
                  </a:stretch>
                </pic:blipFill>
                <pic:spPr>
                  <a:xfrm>
                    <a:off x="0" y="0"/>
                    <a:ext cx="965200" cy="204470"/>
                  </a:xfrm>
                  <a:prstGeom prst="rect">
                    <a:avLst/>
                  </a:prstGeom>
                </pic:spPr>
              </pic:pic>
            </a:graphicData>
          </a:graphic>
          <wp14:sizeRelH relativeFrom="page">
            <wp14:pctWidth>0</wp14:pctWidth>
          </wp14:sizeRelH>
          <wp14:sizeRelV relativeFrom="page">
            <wp14:pctHeight>0</wp14:pctHeight>
          </wp14:sizeRelV>
        </wp:anchor>
      </w:drawing>
    </w:r>
    <w:r w:rsidRPr="00DE78E7">
      <w:rPr>
        <w:noProof/>
        <w:sz w:val="16"/>
        <w:szCs w:val="16"/>
        <w:vertAlign w:val="subscript"/>
      </w:rPr>
      <w:drawing>
        <wp:anchor distT="0" distB="0" distL="114300" distR="114300" simplePos="0" relativeHeight="251664384" behindDoc="0" locked="0" layoutInCell="1" allowOverlap="1" wp14:anchorId="7C62751D" wp14:editId="6833D1DE">
          <wp:simplePos x="0" y="0"/>
          <wp:positionH relativeFrom="column">
            <wp:posOffset>3734435</wp:posOffset>
          </wp:positionH>
          <wp:positionV relativeFrom="paragraph">
            <wp:posOffset>50800</wp:posOffset>
          </wp:positionV>
          <wp:extent cx="380365" cy="342900"/>
          <wp:effectExtent l="0" t="0" r="63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s.png"/>
                  <pic:cNvPicPr/>
                </pic:nvPicPr>
                <pic:blipFill>
                  <a:blip r:embed="rId2">
                    <a:extLst>
                      <a:ext uri="{28A0092B-C50C-407E-A947-70E740481C1C}">
                        <a14:useLocalDpi xmlns:a14="http://schemas.microsoft.com/office/drawing/2010/main" val="0"/>
                      </a:ext>
                    </a:extLst>
                  </a:blip>
                  <a:stretch>
                    <a:fillRect/>
                  </a:stretch>
                </pic:blipFill>
                <pic:spPr>
                  <a:xfrm>
                    <a:off x="0" y="0"/>
                    <a:ext cx="380365" cy="342900"/>
                  </a:xfrm>
                  <a:prstGeom prst="rect">
                    <a:avLst/>
                  </a:prstGeom>
                </pic:spPr>
              </pic:pic>
            </a:graphicData>
          </a:graphic>
          <wp14:sizeRelH relativeFrom="page">
            <wp14:pctWidth>0</wp14:pctWidth>
          </wp14:sizeRelH>
          <wp14:sizeRelV relativeFrom="page">
            <wp14:pctHeight>0</wp14:pctHeight>
          </wp14:sizeRelV>
        </wp:anchor>
      </w:drawing>
    </w:r>
    <w:r w:rsidRPr="005D2349">
      <w:rPr>
        <w:noProof/>
        <w:sz w:val="16"/>
        <w:szCs w:val="16"/>
      </w:rPr>
      <w:drawing>
        <wp:anchor distT="0" distB="0" distL="114300" distR="114300" simplePos="0" relativeHeight="251665408" behindDoc="1" locked="0" layoutInCell="1" allowOverlap="1" wp14:anchorId="270726EA" wp14:editId="586C9CBF">
          <wp:simplePos x="0" y="0"/>
          <wp:positionH relativeFrom="column">
            <wp:posOffset>2057400</wp:posOffset>
          </wp:positionH>
          <wp:positionV relativeFrom="paragraph">
            <wp:posOffset>73025</wp:posOffset>
          </wp:positionV>
          <wp:extent cx="1485900" cy="2794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ng"/>
                  <pic:cNvPicPr/>
                </pic:nvPicPr>
                <pic:blipFill>
                  <a:blip r:embed="rId3">
                    <a:extLst>
                      <a:ext uri="{28A0092B-C50C-407E-A947-70E740481C1C}">
                        <a14:useLocalDpi xmlns:a14="http://schemas.microsoft.com/office/drawing/2010/main" val="0"/>
                      </a:ext>
                    </a:extLst>
                  </a:blip>
                  <a:stretch>
                    <a:fillRect/>
                  </a:stretch>
                </pic:blipFill>
                <pic:spPr>
                  <a:xfrm>
                    <a:off x="0" y="0"/>
                    <a:ext cx="1485900" cy="279400"/>
                  </a:xfrm>
                  <a:prstGeom prst="rect">
                    <a:avLst/>
                  </a:prstGeom>
                </pic:spPr>
              </pic:pic>
            </a:graphicData>
          </a:graphic>
          <wp14:sizeRelH relativeFrom="page">
            <wp14:pctWidth>0</wp14:pctWidth>
          </wp14:sizeRelH>
          <wp14:sizeRelV relativeFrom="page">
            <wp14:pctHeight>0</wp14:pctHeight>
          </wp14:sizeRelV>
        </wp:anchor>
      </w:drawing>
    </w:r>
    <w:r w:rsidRPr="005D2349">
      <w:rPr>
        <w:noProof/>
        <w:sz w:val="16"/>
        <w:szCs w:val="16"/>
      </w:rPr>
      <w:drawing>
        <wp:anchor distT="0" distB="0" distL="114300" distR="114300" simplePos="0" relativeHeight="251666432" behindDoc="1" locked="0" layoutInCell="1" allowOverlap="1" wp14:anchorId="59C63F00" wp14:editId="256BC742">
          <wp:simplePos x="0" y="0"/>
          <wp:positionH relativeFrom="column">
            <wp:posOffset>685800</wp:posOffset>
          </wp:positionH>
          <wp:positionV relativeFrom="paragraph">
            <wp:posOffset>95885</wp:posOffset>
          </wp:positionV>
          <wp:extent cx="1143000" cy="2565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ng"/>
                  <pic:cNvPicPr/>
                </pic:nvPicPr>
                <pic:blipFill>
                  <a:blip r:embed="rId4">
                    <a:extLst>
                      <a:ext uri="{28A0092B-C50C-407E-A947-70E740481C1C}">
                        <a14:useLocalDpi xmlns:a14="http://schemas.microsoft.com/office/drawing/2010/main" val="0"/>
                      </a:ext>
                    </a:extLst>
                  </a:blip>
                  <a:stretch>
                    <a:fillRect/>
                  </a:stretch>
                </pic:blipFill>
                <pic:spPr>
                  <a:xfrm>
                    <a:off x="0" y="0"/>
                    <a:ext cx="1143000" cy="256540"/>
                  </a:xfrm>
                  <a:prstGeom prst="rect">
                    <a:avLst/>
                  </a:prstGeom>
                </pic:spPr>
              </pic:pic>
            </a:graphicData>
          </a:graphic>
          <wp14:sizeRelH relativeFrom="page">
            <wp14:pctWidth>0</wp14:pctWidth>
          </wp14:sizeRelH>
          <wp14:sizeRelV relativeFrom="page">
            <wp14:pctHeight>0</wp14:pctHeight>
          </wp14:sizeRelV>
        </wp:anchor>
      </w:drawing>
    </w:r>
    <w:r w:rsidRPr="005D2349">
      <w:rPr>
        <w:noProof/>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5C" w:rsidRDefault="000E445C" w:rsidP="00F06056">
      <w:pPr>
        <w:spacing w:after="0" w:line="240" w:lineRule="auto"/>
      </w:pPr>
      <w:r>
        <w:separator/>
      </w:r>
    </w:p>
  </w:footnote>
  <w:footnote w:type="continuationSeparator" w:id="0">
    <w:p w:rsidR="000E445C" w:rsidRDefault="000E445C" w:rsidP="00F06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56" w:rsidRDefault="00F06056">
    <w:pPr>
      <w:pStyle w:val="Header"/>
      <w:rPr>
        <w:sz w:val="16"/>
        <w:szCs w:val="16"/>
      </w:rPr>
    </w:pPr>
    <w:r w:rsidRPr="005D2349">
      <w:rPr>
        <w:noProof/>
        <w:sz w:val="16"/>
        <w:szCs w:val="16"/>
      </w:rPr>
      <w:drawing>
        <wp:inline distT="0" distB="0" distL="0" distR="0" wp14:anchorId="243E8BE8" wp14:editId="0E8A0E70">
          <wp:extent cx="1859280" cy="579120"/>
          <wp:effectExtent l="0" t="0" r="7620" b="0"/>
          <wp:docPr id="1" name="Picture 1"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inline>
      </w:drawing>
    </w:r>
  </w:p>
  <w:p w:rsidR="004640EC" w:rsidRPr="005D2349" w:rsidRDefault="004640EC">
    <w:pPr>
      <w:pStyle w:val="Header"/>
      <w:rPr>
        <w:sz w:val="16"/>
        <w:szCs w:val="16"/>
      </w:rPr>
    </w:pPr>
  </w:p>
  <w:p w:rsidR="00F06056" w:rsidRPr="005D2349" w:rsidRDefault="00CB67BF" w:rsidP="00F06056">
    <w:pPr>
      <w:pStyle w:val="Header"/>
      <w:rPr>
        <w:sz w:val="16"/>
        <w:szCs w:val="16"/>
      </w:rPr>
    </w:pPr>
    <w:r>
      <w:rPr>
        <w:sz w:val="16"/>
        <w:szCs w:val="16"/>
      </w:rPr>
      <w:pict w14:anchorId="1E5E1671">
        <v:rect id="_x0000_i1025" style="width:468pt;height:.5pt;mso-position-vertical:absolute" o:hralign="center" o:hrstd="t" o:hrnoshade="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21" w:rsidRPr="005D2349" w:rsidRDefault="00A67E21" w:rsidP="00A67E21">
    <w:pPr>
      <w:pStyle w:val="Header"/>
      <w:rPr>
        <w:sz w:val="16"/>
        <w:szCs w:val="16"/>
      </w:rPr>
    </w:pPr>
    <w:r w:rsidRPr="005D2349">
      <w:rPr>
        <w:noProof/>
        <w:sz w:val="16"/>
        <w:szCs w:val="16"/>
      </w:rPr>
      <w:drawing>
        <wp:inline distT="0" distB="0" distL="0" distR="0" wp14:anchorId="61589948" wp14:editId="1EFD3AA5">
          <wp:extent cx="1859280" cy="579120"/>
          <wp:effectExtent l="0" t="0" r="7620" b="0"/>
          <wp:docPr id="2" name="Picture 2"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inline>
      </w:drawing>
    </w:r>
  </w:p>
  <w:p w:rsidR="00A67E21" w:rsidRPr="00A67E21" w:rsidRDefault="00CB67BF">
    <w:pPr>
      <w:pStyle w:val="Header"/>
      <w:rPr>
        <w:sz w:val="16"/>
        <w:szCs w:val="16"/>
      </w:rPr>
    </w:pPr>
    <w:r>
      <w:rPr>
        <w:sz w:val="16"/>
        <w:szCs w:val="16"/>
      </w:rPr>
      <w:pict w14:anchorId="1D901CE3">
        <v:rect id="_x0000_i1027" style="width:468pt;height:.5pt;mso-position-vertical:absolute" o:hralign="center" o:hrstd="t" o:hrnoshade="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56"/>
    <w:rsid w:val="000E445C"/>
    <w:rsid w:val="00166C98"/>
    <w:rsid w:val="003D2662"/>
    <w:rsid w:val="003E4D80"/>
    <w:rsid w:val="004640EC"/>
    <w:rsid w:val="005D2349"/>
    <w:rsid w:val="0062794D"/>
    <w:rsid w:val="007301FD"/>
    <w:rsid w:val="00865BCD"/>
    <w:rsid w:val="009812A8"/>
    <w:rsid w:val="00A67E21"/>
    <w:rsid w:val="00CB67BF"/>
    <w:rsid w:val="00D7461C"/>
    <w:rsid w:val="00DE78E7"/>
    <w:rsid w:val="00E76C4A"/>
    <w:rsid w:val="00F0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table" w:styleId="LightList-Accent3">
    <w:name w:val="Light List Accent 3"/>
    <w:basedOn w:val="TableNormal"/>
    <w:uiPriority w:val="61"/>
    <w:rsid w:val="000E44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table" w:styleId="LightList-Accent3">
    <w:name w:val="Light List Accent 3"/>
    <w:basedOn w:val="TableNormal"/>
    <w:uiPriority w:val="61"/>
    <w:rsid w:val="000E44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906">
      <w:bodyDiv w:val="1"/>
      <w:marLeft w:val="0"/>
      <w:marRight w:val="0"/>
      <w:marTop w:val="0"/>
      <w:marBottom w:val="0"/>
      <w:divBdr>
        <w:top w:val="none" w:sz="0" w:space="0" w:color="auto"/>
        <w:left w:val="none" w:sz="0" w:space="0" w:color="auto"/>
        <w:bottom w:val="none" w:sz="0" w:space="0" w:color="auto"/>
        <w:right w:val="none" w:sz="0" w:space="0" w:color="auto"/>
      </w:divBdr>
    </w:div>
    <w:div w:id="1990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F29C-05FF-4EB1-81EA-6629A5AC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Jennings</dc:creator>
  <cp:lastModifiedBy>David Jennings</cp:lastModifiedBy>
  <cp:revision>3</cp:revision>
  <cp:lastPrinted>2012-08-31T13:27:00Z</cp:lastPrinted>
  <dcterms:created xsi:type="dcterms:W3CDTF">2014-08-08T15:00:00Z</dcterms:created>
  <dcterms:modified xsi:type="dcterms:W3CDTF">2014-08-08T15:01:00Z</dcterms:modified>
</cp:coreProperties>
</file>