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How can iDigBio differentiate itself from GBIF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blaine: trait depth or imaging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pam: links to other data.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Refine our role with regards to GBIF/BISON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In the end, its all about everyone converging to the same data sets and capabilities, what does that future look like.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Citizen science data cleaning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Find things that are out of scope for GBIF, or really far down the wishlist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traitbank for trait data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make sure our role is clear in the process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What are we doing in the next two years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Link to trait data via vouchers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Focus on developing concepts for more research capabilities, combination of products and case studies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Integrate with open tree of life (upcoming hackathon)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Focus on E&amp;O with iDigBio data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Data carpentry using idigbio data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data citation / attribution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Longer term goals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Provide ability for people to run computation within idigbio on the full dataset, most people won't be able to handle the volumes of data locally. (BLAST style search)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Start building research tools into the portal.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Broaden focus to helping mobilize in other parts of the world that need more exposure. Build TCN like organizations for mobilizing data.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Leverage E&amp;O activities to build longer term plan for 6-10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1 Breakout 3.docx</dc:title>
</cp:coreProperties>
</file>