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Website Content Organization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Larry: finds the website hard to use. Thinks that there should be more than one way to get to the topic.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Greg: Personal interest pages.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Suzette: Website is to wiki centric. Summary pages on the portal, with links to wiki content.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Alex: Too much of what's in the wiki is unfinished products, with a few high quality articles summarized in between. Most of the finished product go into static form on the website.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Lots of ways to organize content (word clouds, links, search)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Look at search analytics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Lots of navigation is easy if the event is recent, gets harder to find the older it gets.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Need to get users using iDigBio more frequently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Maybe not enough content created to actively engage our broad user base.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Alex: Needs more dog fooding of idigbio products. Document &amp; fix problems when we can’t find stuff on our on website.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Sheri: Try and prompt people for more feedback about the inability to find what you’re looking for on the website.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Greg: How to’s on improving content and content discoverability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Engage during workshops, but how to sustain the engagement post-workshop.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Create very simple feedback form for “did you find what you’re looking for” at the bottom of every page.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Charlotte: Put the feedback button on the same place on the portal as it is on the website.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Discussion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  <w:u w:val="none"/>
        </w:rPr>
      </w:pPr>
      <w:r w:rsidRPr="00000000" w:rsidR="00000000" w:rsidDel="00000000">
        <w:rPr>
          <w:b w:val="1"/>
          <w:rtl w:val="0"/>
        </w:rPr>
        <w:t xml:space="preserve">Joanna: has two resources (style guide and new tcn email) that we can update/revise with more information. If we do it soon, it will go out to new tcns in a couple of months.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1 Breakout 2.docx</dc:title>
</cp:coreProperties>
</file>