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70" w:rsidRDefault="009E2A70" w:rsidP="009E2A70">
      <w:pPr>
        <w:pStyle w:val="NoSpacing"/>
      </w:pPr>
      <w:r w:rsidRPr="009E2A70">
        <w:rPr>
          <w:noProof/>
          <w:sz w:val="18"/>
          <w:szCs w:val="18"/>
        </w:rPr>
        <w:drawing>
          <wp:anchor distT="0" distB="0" distL="114300" distR="114300" simplePos="0" relativeHeight="251662336" behindDoc="1" locked="0" layoutInCell="1" allowOverlap="1" wp14:anchorId="39E0D759" wp14:editId="01B24182">
            <wp:simplePos x="0" y="0"/>
            <wp:positionH relativeFrom="column">
              <wp:posOffset>3553460</wp:posOffset>
            </wp:positionH>
            <wp:positionV relativeFrom="paragraph">
              <wp:posOffset>29210</wp:posOffset>
            </wp:positionV>
            <wp:extent cx="2820670" cy="1510030"/>
            <wp:effectExtent l="0" t="0" r="0" b="0"/>
            <wp:wrapTight wrapText="bothSides">
              <wp:wrapPolygon edited="0">
                <wp:start x="5106" y="0"/>
                <wp:lineTo x="1751" y="1907"/>
                <wp:lineTo x="0" y="3542"/>
                <wp:lineTo x="0" y="15532"/>
                <wp:lineTo x="584" y="17985"/>
                <wp:lineTo x="584" y="18802"/>
                <wp:lineTo x="7732" y="20982"/>
                <wp:lineTo x="10066" y="21255"/>
                <wp:lineTo x="21153" y="21255"/>
                <wp:lineTo x="21444" y="19620"/>
                <wp:lineTo x="21444" y="1907"/>
                <wp:lineTo x="19840" y="0"/>
                <wp:lineTo x="5106" y="0"/>
              </wp:wrapPolygon>
            </wp:wrapTight>
            <wp:docPr id="5" name="Picture 5" descr="C:\Users\dpaul\Dropbox\Personal\WorkshopsMeetings\BioLiteracyWorkshops\FieldToDatabase\graphi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Users\dpaul\Dropbox\Personal\WorkshopsMeetings\BioLiteracyWorkshops\FieldToDatabase\graphic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0670" cy="151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1D7">
        <w:t>Darwin Core Standards and Beyond. Making Data and Media Discoverable.</w:t>
      </w:r>
    </w:p>
    <w:p w:rsidR="009E2A70" w:rsidRPr="009E2A70" w:rsidRDefault="009E2A70" w:rsidP="009E2A70">
      <w:pPr>
        <w:pStyle w:val="NoSpacing"/>
        <w:rPr>
          <w:sz w:val="20"/>
          <w:szCs w:val="18"/>
        </w:rPr>
      </w:pPr>
      <w:r>
        <w:rPr>
          <w:sz w:val="20"/>
          <w:szCs w:val="18"/>
        </w:rPr>
        <w:t>Deb Paul, iDigBio Workshop</w:t>
      </w:r>
    </w:p>
    <w:p w:rsidR="009E2A70" w:rsidRPr="009E2A70" w:rsidRDefault="009E2A70" w:rsidP="009E2A70">
      <w:pPr>
        <w:pStyle w:val="NoSpacing"/>
        <w:rPr>
          <w:sz w:val="20"/>
          <w:szCs w:val="18"/>
        </w:rPr>
      </w:pPr>
      <w:r w:rsidRPr="009E2A70">
        <w:rPr>
          <w:sz w:val="20"/>
          <w:szCs w:val="18"/>
        </w:rPr>
        <w:t>March 9 – 12, 2015</w:t>
      </w:r>
    </w:p>
    <w:p w:rsidR="009E2A70" w:rsidRDefault="009E2A70" w:rsidP="009E2A70">
      <w:pPr>
        <w:pStyle w:val="NoSpacing"/>
        <w:rPr>
          <w:sz w:val="20"/>
          <w:szCs w:val="18"/>
        </w:rPr>
      </w:pPr>
      <w:r w:rsidRPr="009E2A70">
        <w:rPr>
          <w:sz w:val="20"/>
          <w:szCs w:val="18"/>
        </w:rPr>
        <w:t>Gainesville, Florida</w:t>
      </w:r>
    </w:p>
    <w:p w:rsidR="009E2A70" w:rsidRDefault="009E2A70" w:rsidP="009631E9">
      <w:pPr>
        <w:pStyle w:val="NoSpacing"/>
        <w:rPr>
          <w:sz w:val="20"/>
          <w:szCs w:val="18"/>
        </w:rPr>
      </w:pPr>
    </w:p>
    <w:p w:rsidR="009E2A70" w:rsidRDefault="0048195B" w:rsidP="009631E9">
      <w:pPr>
        <w:pStyle w:val="NoSpacing"/>
        <w:rPr>
          <w:sz w:val="20"/>
          <w:szCs w:val="18"/>
        </w:rPr>
      </w:pPr>
      <w:r>
        <w:rPr>
          <w:sz w:val="20"/>
          <w:szCs w:val="18"/>
        </w:rPr>
        <w:t>Handout has information on multiple standards.</w:t>
      </w:r>
    </w:p>
    <w:p w:rsidR="0048195B" w:rsidRDefault="0048195B" w:rsidP="0048195B">
      <w:pPr>
        <w:pStyle w:val="NoSpacing"/>
        <w:numPr>
          <w:ilvl w:val="0"/>
          <w:numId w:val="3"/>
        </w:numPr>
        <w:rPr>
          <w:sz w:val="20"/>
          <w:szCs w:val="18"/>
        </w:rPr>
      </w:pPr>
      <w:r>
        <w:rPr>
          <w:sz w:val="20"/>
          <w:szCs w:val="18"/>
        </w:rPr>
        <w:t>EML</w:t>
      </w:r>
    </w:p>
    <w:p w:rsidR="0048195B" w:rsidRDefault="0048195B" w:rsidP="0048195B">
      <w:pPr>
        <w:pStyle w:val="NoSpacing"/>
        <w:numPr>
          <w:ilvl w:val="0"/>
          <w:numId w:val="3"/>
        </w:numPr>
        <w:rPr>
          <w:sz w:val="20"/>
          <w:szCs w:val="18"/>
        </w:rPr>
      </w:pPr>
      <w:r>
        <w:rPr>
          <w:sz w:val="20"/>
          <w:szCs w:val="18"/>
        </w:rPr>
        <w:t>DwC</w:t>
      </w:r>
    </w:p>
    <w:p w:rsidR="009E2A70" w:rsidRDefault="0048195B" w:rsidP="0048195B">
      <w:pPr>
        <w:pStyle w:val="NoSpacing"/>
        <w:numPr>
          <w:ilvl w:val="0"/>
          <w:numId w:val="3"/>
        </w:numPr>
        <w:rPr>
          <w:sz w:val="20"/>
          <w:szCs w:val="18"/>
        </w:rPr>
      </w:pPr>
      <w:r>
        <w:rPr>
          <w:sz w:val="20"/>
          <w:szCs w:val="18"/>
        </w:rPr>
        <w:t>Audubon Media Description</w:t>
      </w:r>
    </w:p>
    <w:p w:rsidR="0048195B" w:rsidRDefault="0048195B" w:rsidP="0048195B">
      <w:pPr>
        <w:pStyle w:val="NoSpacing"/>
        <w:numPr>
          <w:ilvl w:val="0"/>
          <w:numId w:val="3"/>
        </w:numPr>
        <w:rPr>
          <w:sz w:val="20"/>
          <w:szCs w:val="18"/>
        </w:rPr>
      </w:pPr>
      <w:r>
        <w:rPr>
          <w:sz w:val="20"/>
          <w:szCs w:val="18"/>
        </w:rPr>
        <w:t>Material Sample Core and GGBN</w:t>
      </w:r>
    </w:p>
    <w:p w:rsidR="0048195B" w:rsidRDefault="0048195B" w:rsidP="0048195B">
      <w:pPr>
        <w:pStyle w:val="NoSpacing"/>
        <w:numPr>
          <w:ilvl w:val="0"/>
          <w:numId w:val="3"/>
        </w:numPr>
        <w:rPr>
          <w:sz w:val="18"/>
          <w:szCs w:val="18"/>
        </w:rPr>
      </w:pPr>
      <w:r>
        <w:rPr>
          <w:sz w:val="20"/>
          <w:szCs w:val="18"/>
        </w:rPr>
        <w:t>and Locality Field Guide from MVZ</w:t>
      </w:r>
    </w:p>
    <w:p w:rsidR="009E2A70" w:rsidRDefault="009E2A70" w:rsidP="009631E9">
      <w:pPr>
        <w:pStyle w:val="NoSpacing"/>
        <w:rPr>
          <w:sz w:val="18"/>
          <w:szCs w:val="18"/>
        </w:rPr>
      </w:pPr>
    </w:p>
    <w:p w:rsidR="009E2A70" w:rsidRDefault="009E2A70" w:rsidP="009631E9">
      <w:pPr>
        <w:pStyle w:val="NoSpacing"/>
        <w:rPr>
          <w:sz w:val="18"/>
          <w:szCs w:val="18"/>
        </w:rPr>
      </w:pPr>
    </w:p>
    <w:p w:rsidR="009631E9" w:rsidRPr="009E2A70" w:rsidRDefault="009631E9" w:rsidP="009631E9">
      <w:pPr>
        <w:pStyle w:val="NoSpacing"/>
        <w:rPr>
          <w:sz w:val="20"/>
          <w:szCs w:val="18"/>
        </w:rPr>
      </w:pPr>
      <w:r w:rsidRPr="009E2A70">
        <w:rPr>
          <w:sz w:val="20"/>
          <w:szCs w:val="18"/>
        </w:rPr>
        <w:t xml:space="preserve">Ecological </w:t>
      </w:r>
      <w:r w:rsidRPr="009E2A70">
        <w:rPr>
          <w:b/>
          <w:sz w:val="20"/>
          <w:szCs w:val="18"/>
        </w:rPr>
        <w:t>Metadata</w:t>
      </w:r>
      <w:r w:rsidRPr="009E2A70">
        <w:rPr>
          <w:sz w:val="20"/>
          <w:szCs w:val="18"/>
        </w:rPr>
        <w:t xml:space="preserve"> Language (EML) (from </w:t>
      </w:r>
      <w:hyperlink r:id="rId7" w:anchor="external//emlparser/docs/index.html" w:history="1">
        <w:r w:rsidRPr="009E2A70">
          <w:rPr>
            <w:rStyle w:val="Hyperlink"/>
            <w:sz w:val="20"/>
            <w:szCs w:val="18"/>
          </w:rPr>
          <w:t>https://knb.ecoinformatics.org/#external//emlparser/docs/index.html</w:t>
        </w:r>
      </w:hyperlink>
      <w:r w:rsidRPr="009E2A70">
        <w:rPr>
          <w:sz w:val="20"/>
          <w:szCs w:val="18"/>
        </w:rPr>
        <w:t>)</w:t>
      </w:r>
      <w:r w:rsidR="009E2A70" w:rsidRPr="009E2A70">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p>
    <w:p w:rsidR="0048195B" w:rsidRDefault="0048195B" w:rsidP="009631E9">
      <w:pPr>
        <w:pStyle w:val="NoSpacing"/>
        <w:ind w:left="720"/>
        <w:rPr>
          <w:sz w:val="20"/>
          <w:szCs w:val="18"/>
        </w:rPr>
      </w:pPr>
    </w:p>
    <w:p w:rsidR="009631E9" w:rsidRPr="009E2A70" w:rsidRDefault="009631E9" w:rsidP="009631E9">
      <w:pPr>
        <w:pStyle w:val="NoSpacing"/>
        <w:ind w:left="720"/>
        <w:rPr>
          <w:sz w:val="20"/>
          <w:szCs w:val="18"/>
        </w:rPr>
      </w:pPr>
      <w:r w:rsidRPr="009E2A70">
        <w:rPr>
          <w:sz w:val="20"/>
          <w:szCs w:val="18"/>
        </w:rPr>
        <w:t>From Canadensys (</w:t>
      </w:r>
      <w:hyperlink r:id="rId8" w:history="1">
        <w:r w:rsidRPr="009E2A70">
          <w:rPr>
            <w:rStyle w:val="Hyperlink"/>
            <w:sz w:val="20"/>
            <w:szCs w:val="18"/>
          </w:rPr>
          <w:t>http://www.canadensys.net/publication/data-publication-guide</w:t>
        </w:r>
      </w:hyperlink>
      <w:r w:rsidRPr="009E2A70">
        <w:rPr>
          <w:sz w:val="20"/>
          <w:szCs w:val="18"/>
        </w:rPr>
        <w:t>):</w:t>
      </w:r>
    </w:p>
    <w:p w:rsidR="009631E9" w:rsidRPr="0048195B" w:rsidRDefault="009631E9" w:rsidP="009631E9">
      <w:pPr>
        <w:pStyle w:val="Quote"/>
        <w:rPr>
          <w:sz w:val="24"/>
        </w:rPr>
      </w:pPr>
      <w:r w:rsidRPr="0048195B">
        <w:rPr>
          <w:sz w:val="24"/>
        </w:rPr>
        <w:t>“If data are LEGO bricks, then metadata are the shiny box and instructions. They enable users to discover your dataset and assess its relevance for their particular needs, so it pays off investing some time providing them.”</w:t>
      </w:r>
    </w:p>
    <w:p w:rsidR="009631E9" w:rsidRPr="009E2A70" w:rsidRDefault="009631E9" w:rsidP="009631E9">
      <w:pPr>
        <w:pStyle w:val="NoSpacing"/>
        <w:rPr>
          <w:sz w:val="20"/>
          <w:szCs w:val="18"/>
        </w:rPr>
      </w:pPr>
      <w:r w:rsidRPr="009E2A70">
        <w:rPr>
          <w:sz w:val="20"/>
          <w:szCs w:val="18"/>
        </w:rPr>
        <w:t>This is only a sample of EML fields (the labels, not the terms). There are many more. This subset is used by the Global Biodiversity Information Facility (GBIF), and many collections database aggregators including iDigBio and VertNet.</w:t>
      </w:r>
    </w:p>
    <w:p w:rsidR="009631E9" w:rsidRPr="009E2A70" w:rsidRDefault="009631E9" w:rsidP="009631E9">
      <w:pPr>
        <w:pStyle w:val="NoSpacing"/>
        <w:rPr>
          <w:sz w:val="24"/>
        </w:rPr>
      </w:pPr>
    </w:p>
    <w:p w:rsidR="009631E9" w:rsidRPr="009E2A70" w:rsidRDefault="009631E9" w:rsidP="009631E9">
      <w:pPr>
        <w:pStyle w:val="NoSpacing"/>
        <w:rPr>
          <w:b/>
          <w:sz w:val="20"/>
          <w:szCs w:val="18"/>
        </w:rPr>
      </w:pPr>
      <w:r w:rsidRPr="009E2A70">
        <w:rPr>
          <w:b/>
          <w:sz w:val="20"/>
          <w:szCs w:val="18"/>
        </w:rPr>
        <w:t>Basic Metadata</w:t>
      </w:r>
    </w:p>
    <w:p w:rsidR="009631E9" w:rsidRPr="009E2A70" w:rsidRDefault="009631E9" w:rsidP="009631E9">
      <w:pPr>
        <w:pStyle w:val="NoSpacing"/>
        <w:ind w:left="720"/>
        <w:rPr>
          <w:sz w:val="20"/>
          <w:szCs w:val="18"/>
        </w:rPr>
      </w:pPr>
      <w:r w:rsidRPr="009E2A70">
        <w:rPr>
          <w:sz w:val="20"/>
          <w:szCs w:val="18"/>
        </w:rPr>
        <w:t>Title || Description || Metadata Language || Resource Language || Type || Subtype</w:t>
      </w:r>
    </w:p>
    <w:p w:rsidR="009631E9" w:rsidRPr="009E2A70" w:rsidRDefault="009631E9" w:rsidP="009631E9">
      <w:pPr>
        <w:pStyle w:val="NoSpacing"/>
        <w:ind w:left="720"/>
        <w:rPr>
          <w:b/>
          <w:sz w:val="20"/>
          <w:szCs w:val="18"/>
        </w:rPr>
      </w:pPr>
      <w:r w:rsidRPr="009E2A70">
        <w:rPr>
          <w:b/>
          <w:sz w:val="20"/>
          <w:szCs w:val="18"/>
        </w:rPr>
        <w:t>Resource Contact</w:t>
      </w:r>
    </w:p>
    <w:p w:rsidR="009631E9" w:rsidRPr="009E2A70" w:rsidRDefault="009631E9" w:rsidP="009631E9">
      <w:pPr>
        <w:pStyle w:val="NoSpacing"/>
        <w:ind w:left="720"/>
        <w:rPr>
          <w:sz w:val="20"/>
          <w:szCs w:val="18"/>
        </w:rPr>
      </w:pPr>
      <w:r w:rsidRPr="009E2A70">
        <w:rPr>
          <w:sz w:val="20"/>
          <w:szCs w:val="18"/>
        </w:rPr>
        <w:tab/>
        <w:t>First Name Last Name Position Organization Address City State Country Postal Code Phone Email Home Page</w:t>
      </w:r>
    </w:p>
    <w:p w:rsidR="009631E9" w:rsidRPr="009E2A70" w:rsidRDefault="009631E9" w:rsidP="009631E9">
      <w:pPr>
        <w:pStyle w:val="NoSpacing"/>
        <w:ind w:left="720"/>
        <w:rPr>
          <w:b/>
          <w:sz w:val="20"/>
          <w:szCs w:val="18"/>
        </w:rPr>
      </w:pPr>
      <w:r w:rsidRPr="009E2A70">
        <w:rPr>
          <w:b/>
          <w:sz w:val="20"/>
          <w:szCs w:val="18"/>
        </w:rPr>
        <w:t>Resource Creator</w:t>
      </w:r>
    </w:p>
    <w:p w:rsidR="009631E9" w:rsidRPr="009E2A70" w:rsidRDefault="009631E9" w:rsidP="009631E9">
      <w:pPr>
        <w:pStyle w:val="NoSpacing"/>
        <w:ind w:left="720"/>
        <w:rPr>
          <w:sz w:val="20"/>
          <w:szCs w:val="18"/>
        </w:rPr>
      </w:pPr>
      <w:r w:rsidRPr="009E2A70">
        <w:rPr>
          <w:sz w:val="20"/>
          <w:szCs w:val="18"/>
        </w:rPr>
        <w:tab/>
        <w:t>First Name Last Name Position Organization Address City State Country Postal Code Phone Email Home Page</w:t>
      </w:r>
    </w:p>
    <w:p w:rsidR="009631E9" w:rsidRPr="009E2A70" w:rsidRDefault="009631E9" w:rsidP="009631E9">
      <w:pPr>
        <w:pStyle w:val="NoSpacing"/>
        <w:ind w:left="720"/>
        <w:rPr>
          <w:b/>
          <w:sz w:val="20"/>
          <w:szCs w:val="18"/>
        </w:rPr>
      </w:pPr>
      <w:r w:rsidRPr="009E2A70">
        <w:rPr>
          <w:b/>
          <w:sz w:val="20"/>
          <w:szCs w:val="18"/>
        </w:rPr>
        <w:t>Metadata Provider</w:t>
      </w:r>
    </w:p>
    <w:p w:rsidR="009631E9" w:rsidRPr="009E2A70" w:rsidRDefault="009631E9" w:rsidP="009631E9">
      <w:pPr>
        <w:pStyle w:val="NoSpacing"/>
        <w:ind w:left="720"/>
        <w:rPr>
          <w:sz w:val="20"/>
          <w:szCs w:val="18"/>
        </w:rPr>
      </w:pPr>
      <w:r w:rsidRPr="009E2A70">
        <w:rPr>
          <w:sz w:val="20"/>
          <w:szCs w:val="18"/>
        </w:rPr>
        <w:tab/>
        <w:t>First Name Last Name Position Organization Address City State Country Postal Code Phone Email Home Page</w:t>
      </w:r>
    </w:p>
    <w:p w:rsidR="009631E9" w:rsidRPr="009E2A70" w:rsidRDefault="009631E9" w:rsidP="009631E9">
      <w:pPr>
        <w:pStyle w:val="NoSpacing"/>
        <w:rPr>
          <w:b/>
          <w:sz w:val="20"/>
          <w:szCs w:val="18"/>
        </w:rPr>
      </w:pPr>
      <w:r w:rsidRPr="009E2A70">
        <w:rPr>
          <w:b/>
          <w:sz w:val="20"/>
          <w:szCs w:val="18"/>
        </w:rPr>
        <w:t>Geographic Coverage</w:t>
      </w:r>
    </w:p>
    <w:p w:rsidR="009631E9" w:rsidRPr="009E2A70" w:rsidRDefault="009631E9" w:rsidP="009631E9">
      <w:pPr>
        <w:pStyle w:val="NoSpacing"/>
        <w:rPr>
          <w:sz w:val="20"/>
          <w:szCs w:val="18"/>
        </w:rPr>
      </w:pPr>
      <w:r w:rsidRPr="009E2A70">
        <w:rPr>
          <w:b/>
          <w:sz w:val="20"/>
          <w:szCs w:val="18"/>
        </w:rPr>
        <w:tab/>
      </w:r>
      <w:r w:rsidRPr="009E2A70">
        <w:rPr>
          <w:sz w:val="20"/>
          <w:szCs w:val="18"/>
        </w:rPr>
        <w:t>Global coverage (true or false) || West || East || South || North || Description</w:t>
      </w:r>
    </w:p>
    <w:p w:rsidR="009631E9" w:rsidRPr="009E2A70" w:rsidRDefault="009631E9" w:rsidP="009631E9">
      <w:pPr>
        <w:pStyle w:val="NoSpacing"/>
        <w:rPr>
          <w:b/>
          <w:sz w:val="20"/>
          <w:szCs w:val="18"/>
        </w:rPr>
      </w:pPr>
      <w:r w:rsidRPr="009E2A70">
        <w:rPr>
          <w:b/>
          <w:sz w:val="20"/>
          <w:szCs w:val="18"/>
        </w:rPr>
        <w:t>Taxonomic Coverage</w:t>
      </w:r>
    </w:p>
    <w:p w:rsidR="009631E9" w:rsidRPr="009E2A70" w:rsidRDefault="009631E9" w:rsidP="009631E9">
      <w:pPr>
        <w:pStyle w:val="NoSpacing"/>
        <w:rPr>
          <w:sz w:val="20"/>
          <w:szCs w:val="18"/>
        </w:rPr>
      </w:pPr>
      <w:r w:rsidRPr="009E2A70">
        <w:rPr>
          <w:sz w:val="20"/>
          <w:szCs w:val="18"/>
        </w:rPr>
        <w:tab/>
        <w:t xml:space="preserve">Description || Taxa (Scientific Name, Common Name, Rank || </w:t>
      </w:r>
    </w:p>
    <w:p w:rsidR="009631E9" w:rsidRPr="009E2A70" w:rsidRDefault="009631E9" w:rsidP="009631E9">
      <w:pPr>
        <w:pStyle w:val="NoSpacing"/>
        <w:rPr>
          <w:b/>
          <w:sz w:val="20"/>
          <w:szCs w:val="18"/>
        </w:rPr>
      </w:pPr>
      <w:r w:rsidRPr="009E2A70">
        <w:rPr>
          <w:b/>
          <w:sz w:val="20"/>
          <w:szCs w:val="18"/>
        </w:rPr>
        <w:t>Temporal Coverage</w:t>
      </w:r>
    </w:p>
    <w:p w:rsidR="009631E9" w:rsidRPr="009E2A70" w:rsidRDefault="009631E9" w:rsidP="009631E9">
      <w:pPr>
        <w:pStyle w:val="NoSpacing"/>
        <w:rPr>
          <w:sz w:val="20"/>
          <w:szCs w:val="18"/>
        </w:rPr>
      </w:pPr>
      <w:r w:rsidRPr="009E2A70">
        <w:rPr>
          <w:sz w:val="20"/>
          <w:szCs w:val="18"/>
        </w:rPr>
        <w:tab/>
        <w:t>Temporal Coverage Type || Start Date || End Date</w:t>
      </w:r>
    </w:p>
    <w:p w:rsidR="009631E9" w:rsidRPr="009E2A70" w:rsidRDefault="009631E9" w:rsidP="009631E9">
      <w:pPr>
        <w:pStyle w:val="NoSpacing"/>
        <w:rPr>
          <w:b/>
          <w:sz w:val="20"/>
          <w:szCs w:val="18"/>
        </w:rPr>
      </w:pPr>
      <w:r w:rsidRPr="009E2A70">
        <w:rPr>
          <w:b/>
          <w:sz w:val="20"/>
          <w:szCs w:val="18"/>
        </w:rPr>
        <w:t>Keywords</w:t>
      </w:r>
    </w:p>
    <w:p w:rsidR="009631E9" w:rsidRPr="009E2A70" w:rsidRDefault="009631E9" w:rsidP="009631E9">
      <w:pPr>
        <w:pStyle w:val="NoSpacing"/>
        <w:rPr>
          <w:sz w:val="20"/>
          <w:szCs w:val="18"/>
        </w:rPr>
      </w:pPr>
      <w:r w:rsidRPr="009E2A70">
        <w:rPr>
          <w:sz w:val="20"/>
          <w:szCs w:val="18"/>
        </w:rPr>
        <w:tab/>
      </w:r>
    </w:p>
    <w:p w:rsidR="009631E9" w:rsidRPr="009E2A70" w:rsidRDefault="009631E9" w:rsidP="009631E9">
      <w:pPr>
        <w:pStyle w:val="NoSpacing"/>
        <w:rPr>
          <w:b/>
          <w:sz w:val="20"/>
          <w:szCs w:val="18"/>
        </w:rPr>
      </w:pPr>
      <w:r w:rsidRPr="009E2A70">
        <w:rPr>
          <w:b/>
          <w:sz w:val="20"/>
          <w:szCs w:val="18"/>
        </w:rPr>
        <w:t>Associated Parties</w:t>
      </w:r>
      <w:r w:rsidRPr="009E2A70">
        <w:rPr>
          <w:sz w:val="20"/>
          <w:szCs w:val="18"/>
        </w:rPr>
        <w:t xml:space="preserve"> (as many as needed)</w:t>
      </w:r>
    </w:p>
    <w:p w:rsidR="009631E9" w:rsidRPr="009E2A70" w:rsidRDefault="009631E9" w:rsidP="009631E9">
      <w:pPr>
        <w:pStyle w:val="NoSpacing"/>
        <w:rPr>
          <w:sz w:val="20"/>
          <w:szCs w:val="18"/>
        </w:rPr>
      </w:pPr>
      <w:r w:rsidRPr="009E2A70">
        <w:rPr>
          <w:sz w:val="20"/>
          <w:szCs w:val="18"/>
        </w:rPr>
        <w:tab/>
        <w:t>First Name Last Name Position Organization Address City State Country Postal Code Phone Email Home Page</w:t>
      </w:r>
    </w:p>
    <w:p w:rsidR="009631E9" w:rsidRPr="009E2A70" w:rsidRDefault="009631E9" w:rsidP="009631E9">
      <w:pPr>
        <w:pStyle w:val="NoSpacing"/>
        <w:rPr>
          <w:b/>
          <w:sz w:val="20"/>
          <w:szCs w:val="18"/>
        </w:rPr>
      </w:pPr>
      <w:r w:rsidRPr="009E2A70">
        <w:rPr>
          <w:b/>
          <w:sz w:val="20"/>
          <w:szCs w:val="18"/>
        </w:rPr>
        <w:t>Project Data</w:t>
      </w:r>
    </w:p>
    <w:p w:rsidR="009631E9" w:rsidRPr="009E2A70" w:rsidRDefault="009631E9" w:rsidP="009631E9">
      <w:pPr>
        <w:pStyle w:val="NoSpacing"/>
        <w:rPr>
          <w:sz w:val="20"/>
          <w:szCs w:val="18"/>
        </w:rPr>
      </w:pPr>
      <w:r w:rsidRPr="009E2A70">
        <w:rPr>
          <w:sz w:val="20"/>
          <w:szCs w:val="18"/>
        </w:rPr>
        <w:tab/>
        <w:t>Title || Personnel First Name || Personnel Last Name || Personnel Role || Funding || Study Area Description || Design Description</w:t>
      </w:r>
    </w:p>
    <w:p w:rsidR="009631E9" w:rsidRPr="009E2A70" w:rsidRDefault="009631E9" w:rsidP="009631E9">
      <w:pPr>
        <w:pStyle w:val="NoSpacing"/>
        <w:rPr>
          <w:b/>
          <w:sz w:val="20"/>
          <w:szCs w:val="18"/>
        </w:rPr>
      </w:pPr>
      <w:r w:rsidRPr="009E2A70">
        <w:rPr>
          <w:b/>
          <w:sz w:val="20"/>
          <w:szCs w:val="18"/>
        </w:rPr>
        <w:t xml:space="preserve">Sampling Methods </w:t>
      </w:r>
      <w:r w:rsidRPr="009E2A70">
        <w:rPr>
          <w:sz w:val="20"/>
          <w:szCs w:val="18"/>
        </w:rPr>
        <w:t>(as many as needed)</w:t>
      </w:r>
    </w:p>
    <w:p w:rsidR="009631E9" w:rsidRPr="009E2A70" w:rsidRDefault="009631E9" w:rsidP="009631E9">
      <w:pPr>
        <w:pStyle w:val="NoSpacing"/>
        <w:rPr>
          <w:sz w:val="20"/>
          <w:szCs w:val="18"/>
        </w:rPr>
      </w:pPr>
      <w:r w:rsidRPr="009E2A70">
        <w:rPr>
          <w:sz w:val="20"/>
          <w:szCs w:val="18"/>
        </w:rPr>
        <w:tab/>
        <w:t>Study Extent || Sampling Description || Quality Control || Step Description</w:t>
      </w:r>
    </w:p>
    <w:p w:rsidR="009631E9" w:rsidRPr="009E2A70" w:rsidRDefault="009631E9" w:rsidP="009631E9">
      <w:pPr>
        <w:pStyle w:val="NoSpacing"/>
        <w:rPr>
          <w:b/>
          <w:sz w:val="20"/>
          <w:szCs w:val="18"/>
        </w:rPr>
      </w:pPr>
      <w:r w:rsidRPr="009E2A70">
        <w:rPr>
          <w:b/>
          <w:sz w:val="20"/>
          <w:szCs w:val="18"/>
        </w:rPr>
        <w:t xml:space="preserve">Citations </w:t>
      </w:r>
      <w:r w:rsidRPr="009E2A70">
        <w:rPr>
          <w:sz w:val="20"/>
          <w:szCs w:val="18"/>
        </w:rPr>
        <w:t>(as many as needed)</w:t>
      </w:r>
    </w:p>
    <w:p w:rsidR="009631E9" w:rsidRPr="009E2A70" w:rsidRDefault="009631E9" w:rsidP="009631E9">
      <w:pPr>
        <w:pStyle w:val="NoSpacing"/>
        <w:rPr>
          <w:sz w:val="20"/>
          <w:szCs w:val="18"/>
        </w:rPr>
      </w:pPr>
      <w:r w:rsidRPr="009E2A70">
        <w:rPr>
          <w:sz w:val="20"/>
          <w:szCs w:val="18"/>
        </w:rPr>
        <w:tab/>
        <w:t>Citation Identifier || Resource Citation || Bibliography</w:t>
      </w:r>
    </w:p>
    <w:p w:rsidR="009631E9" w:rsidRPr="009E2A70" w:rsidRDefault="009631E9" w:rsidP="009631E9">
      <w:pPr>
        <w:pStyle w:val="NoSpacing"/>
        <w:rPr>
          <w:b/>
          <w:sz w:val="20"/>
          <w:szCs w:val="18"/>
        </w:rPr>
      </w:pPr>
      <w:r w:rsidRPr="009E2A70">
        <w:rPr>
          <w:b/>
          <w:sz w:val="20"/>
          <w:szCs w:val="18"/>
        </w:rPr>
        <w:t>Collection Data</w:t>
      </w:r>
    </w:p>
    <w:p w:rsidR="009631E9" w:rsidRPr="009E2A70" w:rsidRDefault="009631E9" w:rsidP="009631E9">
      <w:pPr>
        <w:pStyle w:val="NoSpacing"/>
        <w:rPr>
          <w:sz w:val="20"/>
          <w:szCs w:val="18"/>
        </w:rPr>
      </w:pPr>
      <w:r w:rsidRPr="009E2A70">
        <w:rPr>
          <w:sz w:val="20"/>
          <w:szCs w:val="18"/>
        </w:rPr>
        <w:tab/>
        <w:t>Collection Name || Collection Identifier || Parent Collection Identifier || Specimen preservation method</w:t>
      </w:r>
    </w:p>
    <w:p w:rsidR="009631E9" w:rsidRPr="009E2A70" w:rsidRDefault="009631E9" w:rsidP="009631E9">
      <w:pPr>
        <w:pStyle w:val="NoSpacing"/>
        <w:rPr>
          <w:sz w:val="20"/>
          <w:szCs w:val="18"/>
        </w:rPr>
      </w:pPr>
      <w:r w:rsidRPr="009E2A70">
        <w:rPr>
          <w:sz w:val="20"/>
          <w:szCs w:val="18"/>
        </w:rPr>
        <w:tab/>
      </w:r>
      <w:r w:rsidRPr="009E2A70">
        <w:rPr>
          <w:b/>
          <w:sz w:val="20"/>
          <w:szCs w:val="18"/>
        </w:rPr>
        <w:t xml:space="preserve">Curatorial Units </w:t>
      </w:r>
      <w:r w:rsidRPr="009E2A70">
        <w:rPr>
          <w:sz w:val="20"/>
          <w:szCs w:val="18"/>
        </w:rPr>
        <w:t>(Examples of units include skins, sheets, pins, boxes, jars)</w:t>
      </w:r>
    </w:p>
    <w:p w:rsidR="009631E9" w:rsidRPr="009E2A70" w:rsidRDefault="009631E9" w:rsidP="009631E9">
      <w:pPr>
        <w:pStyle w:val="NoSpacing"/>
        <w:rPr>
          <w:sz w:val="20"/>
          <w:szCs w:val="18"/>
        </w:rPr>
      </w:pPr>
      <w:r w:rsidRPr="009E2A70">
        <w:rPr>
          <w:b/>
          <w:sz w:val="20"/>
          <w:szCs w:val="18"/>
        </w:rPr>
        <w:tab/>
      </w:r>
      <w:r w:rsidRPr="009E2A70">
        <w:rPr>
          <w:b/>
          <w:sz w:val="20"/>
          <w:szCs w:val="18"/>
        </w:rPr>
        <w:tab/>
      </w:r>
      <w:r w:rsidRPr="009E2A70">
        <w:rPr>
          <w:sz w:val="20"/>
          <w:szCs w:val="18"/>
        </w:rPr>
        <w:t>Method type || Between || Unit Type</w:t>
      </w:r>
    </w:p>
    <w:p w:rsidR="009631E9" w:rsidRPr="009E2A70" w:rsidRDefault="009631E9" w:rsidP="009631E9">
      <w:pPr>
        <w:pStyle w:val="NoSpacing"/>
        <w:rPr>
          <w:b/>
          <w:sz w:val="20"/>
          <w:szCs w:val="18"/>
        </w:rPr>
      </w:pPr>
      <w:r w:rsidRPr="009E2A70">
        <w:rPr>
          <w:b/>
          <w:sz w:val="20"/>
          <w:szCs w:val="18"/>
        </w:rPr>
        <w:t xml:space="preserve">External links </w:t>
      </w:r>
      <w:r w:rsidRPr="009E2A70">
        <w:rPr>
          <w:sz w:val="20"/>
          <w:szCs w:val="18"/>
        </w:rPr>
        <w:t>(as many as needed)</w:t>
      </w:r>
    </w:p>
    <w:p w:rsidR="009631E9" w:rsidRPr="009E2A70" w:rsidRDefault="009631E9" w:rsidP="009631E9">
      <w:pPr>
        <w:pStyle w:val="NoSpacing"/>
        <w:rPr>
          <w:sz w:val="20"/>
          <w:szCs w:val="18"/>
        </w:rPr>
      </w:pPr>
      <w:r w:rsidRPr="009E2A70">
        <w:rPr>
          <w:sz w:val="20"/>
          <w:szCs w:val="18"/>
        </w:rPr>
        <w:tab/>
        <w:t>Resource Homepage</w:t>
      </w:r>
    </w:p>
    <w:p w:rsidR="009631E9" w:rsidRPr="009E2A70" w:rsidRDefault="009631E9" w:rsidP="009631E9">
      <w:pPr>
        <w:pStyle w:val="NoSpacing"/>
        <w:rPr>
          <w:b/>
          <w:sz w:val="20"/>
          <w:szCs w:val="18"/>
        </w:rPr>
      </w:pPr>
      <w:r w:rsidRPr="009E2A70">
        <w:rPr>
          <w:b/>
          <w:sz w:val="20"/>
          <w:szCs w:val="18"/>
        </w:rPr>
        <w:t>Additional Metadata</w:t>
      </w:r>
    </w:p>
    <w:p w:rsidR="009631E9" w:rsidRPr="009E2A70" w:rsidRDefault="009631E9" w:rsidP="009631E9">
      <w:pPr>
        <w:pStyle w:val="NoSpacing"/>
        <w:rPr>
          <w:sz w:val="20"/>
          <w:szCs w:val="18"/>
        </w:rPr>
      </w:pPr>
      <w:r w:rsidRPr="009E2A70">
        <w:rPr>
          <w:sz w:val="20"/>
          <w:szCs w:val="18"/>
        </w:rPr>
        <w:tab/>
        <w:t xml:space="preserve">Hierarchy level || Date Published || Resource logo URL || Purpose || IP Rights || Additional Information </w:t>
      </w:r>
    </w:p>
    <w:p w:rsidR="009631E9" w:rsidRPr="009E2A70" w:rsidRDefault="009631E9" w:rsidP="009631E9">
      <w:pPr>
        <w:pStyle w:val="NoSpacing"/>
        <w:rPr>
          <w:b/>
          <w:sz w:val="20"/>
          <w:szCs w:val="18"/>
        </w:rPr>
      </w:pPr>
      <w:r w:rsidRPr="009E2A70">
        <w:rPr>
          <w:sz w:val="20"/>
          <w:szCs w:val="18"/>
        </w:rPr>
        <w:tab/>
      </w:r>
      <w:r w:rsidRPr="009E2A70">
        <w:rPr>
          <w:b/>
          <w:sz w:val="20"/>
          <w:szCs w:val="18"/>
        </w:rPr>
        <w:t>Alternative Identifiers</w:t>
      </w:r>
    </w:p>
    <w:p w:rsidR="004331D7" w:rsidRDefault="004331D7" w:rsidP="004331D7">
      <w:pPr>
        <w:pStyle w:val="NoSpacing"/>
        <w:rPr>
          <w:sz w:val="18"/>
          <w:szCs w:val="18"/>
        </w:rPr>
      </w:pPr>
      <w:r w:rsidRPr="006C6BB5">
        <w:rPr>
          <w:b/>
          <w:sz w:val="18"/>
          <w:szCs w:val="18"/>
        </w:rPr>
        <w:lastRenderedPageBreak/>
        <w:t>Darwin Core Terms: A quick reference guide</w:t>
      </w:r>
      <w:r>
        <w:rPr>
          <w:sz w:val="18"/>
          <w:szCs w:val="18"/>
        </w:rPr>
        <w:t xml:space="preserve"> (source: </w:t>
      </w:r>
      <w:hyperlink r:id="rId9" w:history="1">
        <w:r w:rsidRPr="00E375E6">
          <w:rPr>
            <w:rStyle w:val="Hyperlink"/>
            <w:sz w:val="18"/>
            <w:szCs w:val="18"/>
          </w:rPr>
          <w:t>http://rs.tdwg.org/dwc/terms/</w:t>
        </w:r>
      </w:hyperlink>
      <w:r>
        <w:rPr>
          <w:sz w:val="18"/>
          <w:szCs w:val="18"/>
        </w:rPr>
        <w:t>) 27 February 2015</w:t>
      </w:r>
    </w:p>
    <w:p w:rsidR="004331D7" w:rsidRDefault="004331D7" w:rsidP="004331D7">
      <w:pPr>
        <w:pStyle w:val="NoSpacing"/>
        <w:rPr>
          <w:sz w:val="18"/>
          <w:szCs w:val="18"/>
        </w:rPr>
      </w:pPr>
    </w:p>
    <w:p w:rsidR="004331D7" w:rsidRDefault="004331D7" w:rsidP="004331D7">
      <w:pPr>
        <w:pStyle w:val="NoSpacing"/>
        <w:rPr>
          <w:sz w:val="18"/>
          <w:szCs w:val="18"/>
        </w:rPr>
      </w:pPr>
      <w:r>
        <w:rPr>
          <w:sz w:val="18"/>
          <w:szCs w:val="18"/>
        </w:rPr>
        <w:t xml:space="preserve">Terms are arranged by </w:t>
      </w:r>
      <w:r w:rsidRPr="004331D7">
        <w:rPr>
          <w:b/>
          <w:i/>
          <w:sz w:val="18"/>
          <w:szCs w:val="18"/>
        </w:rPr>
        <w:t>category</w:t>
      </w:r>
      <w:r w:rsidRPr="004331D7">
        <w:rPr>
          <w:b/>
          <w:sz w:val="18"/>
          <w:szCs w:val="18"/>
        </w:rPr>
        <w:t xml:space="preserve"> </w:t>
      </w:r>
      <w:r>
        <w:rPr>
          <w:sz w:val="18"/>
          <w:szCs w:val="18"/>
        </w:rPr>
        <w:t xml:space="preserve">(in other situations you might call these categories: </w:t>
      </w:r>
      <w:r w:rsidRPr="004331D7">
        <w:rPr>
          <w:sz w:val="18"/>
          <w:szCs w:val="18"/>
        </w:rPr>
        <w:t>properties, elements, fields, columns, attributes, or concepts</w:t>
      </w:r>
      <w:r>
        <w:rPr>
          <w:sz w:val="18"/>
          <w:szCs w:val="18"/>
        </w:rPr>
        <w:t>)</w:t>
      </w:r>
    </w:p>
    <w:p w:rsidR="004331D7" w:rsidRPr="004331D7" w:rsidRDefault="004331D7" w:rsidP="004331D7">
      <w:pPr>
        <w:pStyle w:val="NoSpacing"/>
        <w:ind w:left="720"/>
        <w:rPr>
          <w:b/>
          <w:sz w:val="18"/>
          <w:szCs w:val="18"/>
        </w:rPr>
      </w:pPr>
      <w:r w:rsidRPr="004331D7">
        <w:rPr>
          <w:b/>
          <w:sz w:val="18"/>
          <w:szCs w:val="18"/>
        </w:rPr>
        <w:t>Occurrence, Organism, MaterialSample, LivingSpecimen, PreservedSpecimen, FossilSpecimen, Event, HumanObservation, MachineObservation, Location, GeologicalContext, Identification, Taxon</w:t>
      </w:r>
    </w:p>
    <w:p w:rsidR="004331D7" w:rsidRDefault="004331D7" w:rsidP="004331D7">
      <w:pPr>
        <w:pStyle w:val="NoSpacing"/>
        <w:rPr>
          <w:b/>
          <w:sz w:val="18"/>
          <w:szCs w:val="18"/>
        </w:rPr>
      </w:pPr>
    </w:p>
    <w:p w:rsidR="004331D7" w:rsidRPr="00840A53" w:rsidRDefault="004331D7" w:rsidP="004331D7">
      <w:pPr>
        <w:pStyle w:val="NoSpacing"/>
        <w:rPr>
          <w:sz w:val="18"/>
          <w:szCs w:val="18"/>
        </w:rPr>
      </w:pPr>
      <w:r w:rsidRPr="004331D7">
        <w:rPr>
          <w:b/>
          <w:sz w:val="18"/>
          <w:szCs w:val="18"/>
        </w:rPr>
        <w:t>Record-level Terms</w:t>
      </w:r>
      <w:r w:rsidR="00840A53">
        <w:rPr>
          <w:b/>
          <w:sz w:val="18"/>
          <w:szCs w:val="18"/>
        </w:rPr>
        <w:t xml:space="preserve"> </w:t>
      </w:r>
      <w:r w:rsidR="00840A53">
        <w:rPr>
          <w:sz w:val="18"/>
          <w:szCs w:val="18"/>
        </w:rPr>
        <w:t xml:space="preserve">(terms in this </w:t>
      </w:r>
      <w:r w:rsidR="00840A53" w:rsidRPr="00840A53">
        <w:rPr>
          <w:sz w:val="18"/>
          <w:szCs w:val="18"/>
        </w:rPr>
        <w:t>section apply to the whole record regardless of the record type</w:t>
      </w:r>
      <w:r w:rsidR="00840A53">
        <w:rPr>
          <w:sz w:val="18"/>
          <w:szCs w:val="18"/>
        </w:rPr>
        <w:t>)</w:t>
      </w:r>
    </w:p>
    <w:p w:rsidR="004331D7" w:rsidRPr="004331D7" w:rsidRDefault="004331D7" w:rsidP="00840A53">
      <w:pPr>
        <w:pStyle w:val="NoSpacing"/>
        <w:ind w:left="720"/>
        <w:rPr>
          <w:sz w:val="18"/>
          <w:szCs w:val="18"/>
        </w:rPr>
      </w:pPr>
      <w:r w:rsidRPr="004331D7">
        <w:rPr>
          <w:sz w:val="18"/>
          <w:szCs w:val="18"/>
        </w:rPr>
        <w:t>dcterms:type | dcterms:modified | dcterms:language | dcterms:license | dcterms:rightsHolder | dcterms:accessRights | dcterms:bibliographicCitation | dcterms:references</w:t>
      </w:r>
    </w:p>
    <w:p w:rsidR="004331D7" w:rsidRPr="004331D7" w:rsidRDefault="004331D7" w:rsidP="004331D7">
      <w:pPr>
        <w:pStyle w:val="NoSpacing"/>
        <w:rPr>
          <w:sz w:val="18"/>
          <w:szCs w:val="18"/>
        </w:rPr>
      </w:pPr>
    </w:p>
    <w:p w:rsidR="004331D7" w:rsidRPr="004331D7" w:rsidRDefault="004331D7" w:rsidP="00840A53">
      <w:pPr>
        <w:pStyle w:val="NoSpacing"/>
        <w:ind w:left="720"/>
        <w:rPr>
          <w:sz w:val="18"/>
          <w:szCs w:val="18"/>
        </w:rPr>
      </w:pPr>
      <w:r w:rsidRPr="004331D7">
        <w:rPr>
          <w:sz w:val="18"/>
          <w:szCs w:val="18"/>
        </w:rPr>
        <w:t>institutionID | collectionID | datasetID | institutionCode | collectionCode | datasetName | ownerInstitutionCode | basisOfRecord | informationWithheld | dataGeneralizations | dynamicProperties</w:t>
      </w:r>
    </w:p>
    <w:p w:rsidR="00840A53" w:rsidRDefault="00840A53" w:rsidP="004331D7">
      <w:pPr>
        <w:pStyle w:val="NoSpacing"/>
        <w:rPr>
          <w:b/>
          <w:sz w:val="18"/>
          <w:szCs w:val="18"/>
        </w:rPr>
      </w:pPr>
    </w:p>
    <w:p w:rsidR="004331D7" w:rsidRPr="004331D7" w:rsidRDefault="004331D7" w:rsidP="004331D7">
      <w:pPr>
        <w:pStyle w:val="NoSpacing"/>
        <w:rPr>
          <w:b/>
          <w:sz w:val="18"/>
          <w:szCs w:val="18"/>
        </w:rPr>
      </w:pPr>
      <w:r w:rsidRPr="004331D7">
        <w:rPr>
          <w:b/>
          <w:sz w:val="18"/>
          <w:szCs w:val="18"/>
        </w:rPr>
        <w:t>Occurrence</w:t>
      </w:r>
    </w:p>
    <w:p w:rsidR="004331D7" w:rsidRPr="004331D7" w:rsidRDefault="004331D7" w:rsidP="00840A53">
      <w:pPr>
        <w:pStyle w:val="NoSpacing"/>
        <w:ind w:left="720"/>
        <w:rPr>
          <w:sz w:val="18"/>
          <w:szCs w:val="18"/>
        </w:rPr>
      </w:pPr>
      <w:r w:rsidRPr="004331D7">
        <w:rPr>
          <w:sz w:val="18"/>
          <w:szCs w:val="18"/>
        </w:rPr>
        <w:t>occurrenceID | catalogNumber | recordNumber | recordedBy | individualCount | sex | lifeStage | reproductiveCondition | behavior | establishmentMeans | occurrenceStatus | preparations | disposition | associatedMedia | associatedReferences | associatedSequences | associatedTaxa | otherCatalogNumbers | occurrenceRemarks</w:t>
      </w:r>
    </w:p>
    <w:p w:rsidR="004331D7" w:rsidRPr="004331D7" w:rsidRDefault="004331D7" w:rsidP="004331D7">
      <w:pPr>
        <w:pStyle w:val="NoSpacing"/>
        <w:rPr>
          <w:b/>
          <w:sz w:val="18"/>
          <w:szCs w:val="18"/>
        </w:rPr>
      </w:pPr>
      <w:r w:rsidRPr="004331D7">
        <w:rPr>
          <w:b/>
          <w:sz w:val="18"/>
          <w:szCs w:val="18"/>
        </w:rPr>
        <w:t>Organism</w:t>
      </w:r>
    </w:p>
    <w:p w:rsidR="004331D7" w:rsidRDefault="004331D7" w:rsidP="00840A53">
      <w:pPr>
        <w:pStyle w:val="NoSpacing"/>
        <w:ind w:left="720"/>
        <w:rPr>
          <w:sz w:val="18"/>
          <w:szCs w:val="18"/>
        </w:rPr>
      </w:pPr>
      <w:r w:rsidRPr="004331D7">
        <w:rPr>
          <w:sz w:val="18"/>
          <w:szCs w:val="18"/>
        </w:rPr>
        <w:t>organismID | organismName | organismScope | associatedOccurrences | associatedOrganisms | previousIdentifications | organismRemarks</w:t>
      </w:r>
    </w:p>
    <w:p w:rsidR="00840A53" w:rsidRPr="004331D7" w:rsidRDefault="00840A53" w:rsidP="00840A53">
      <w:pPr>
        <w:pStyle w:val="NoSpacing"/>
        <w:ind w:left="720"/>
        <w:rPr>
          <w:sz w:val="18"/>
          <w:szCs w:val="18"/>
        </w:rPr>
      </w:pPr>
    </w:p>
    <w:p w:rsidR="004331D7" w:rsidRPr="004331D7" w:rsidRDefault="004331D7" w:rsidP="004331D7">
      <w:pPr>
        <w:pStyle w:val="NoSpacing"/>
        <w:rPr>
          <w:b/>
          <w:sz w:val="18"/>
          <w:szCs w:val="18"/>
        </w:rPr>
      </w:pPr>
      <w:r w:rsidRPr="004331D7">
        <w:rPr>
          <w:b/>
          <w:sz w:val="18"/>
          <w:szCs w:val="18"/>
        </w:rPr>
        <w:t>MaterialSample | LivingSpecimen | PreservedSpecimen | FossilSpecimen</w:t>
      </w:r>
    </w:p>
    <w:p w:rsidR="004331D7" w:rsidRPr="004331D7" w:rsidRDefault="004331D7" w:rsidP="00840A53">
      <w:pPr>
        <w:pStyle w:val="NoSpacing"/>
        <w:ind w:left="720"/>
        <w:rPr>
          <w:sz w:val="18"/>
          <w:szCs w:val="18"/>
        </w:rPr>
      </w:pPr>
      <w:r w:rsidRPr="004331D7">
        <w:rPr>
          <w:sz w:val="18"/>
          <w:szCs w:val="18"/>
        </w:rPr>
        <w:t>materialSampleID</w:t>
      </w:r>
    </w:p>
    <w:p w:rsidR="00840A53" w:rsidRDefault="00840A53" w:rsidP="004331D7">
      <w:pPr>
        <w:pStyle w:val="NoSpacing"/>
        <w:rPr>
          <w:b/>
          <w:sz w:val="18"/>
          <w:szCs w:val="18"/>
        </w:rPr>
      </w:pPr>
    </w:p>
    <w:p w:rsidR="004331D7" w:rsidRPr="004331D7" w:rsidRDefault="004331D7" w:rsidP="004331D7">
      <w:pPr>
        <w:pStyle w:val="NoSpacing"/>
        <w:rPr>
          <w:b/>
          <w:sz w:val="18"/>
          <w:szCs w:val="18"/>
        </w:rPr>
      </w:pPr>
      <w:r w:rsidRPr="004331D7">
        <w:rPr>
          <w:b/>
          <w:sz w:val="18"/>
          <w:szCs w:val="18"/>
        </w:rPr>
        <w:t>Event | HumanObservation | MachineObservation</w:t>
      </w:r>
    </w:p>
    <w:p w:rsidR="004331D7" w:rsidRPr="004331D7" w:rsidRDefault="004331D7" w:rsidP="00840A53">
      <w:pPr>
        <w:pStyle w:val="NoSpacing"/>
        <w:ind w:left="720"/>
        <w:rPr>
          <w:sz w:val="18"/>
          <w:szCs w:val="18"/>
        </w:rPr>
      </w:pPr>
      <w:r w:rsidRPr="004331D7">
        <w:rPr>
          <w:sz w:val="18"/>
          <w:szCs w:val="18"/>
        </w:rPr>
        <w:t>eventID | fieldNumber | eventDate | eventTime | startDayOfYear | endDayOfYear | year | month | day | verbatimEventDate | habitat | samplingProtocol | samplingEffort | fieldNotes | eventRemarks</w:t>
      </w:r>
    </w:p>
    <w:p w:rsidR="00840A53" w:rsidRDefault="00840A53" w:rsidP="004331D7">
      <w:pPr>
        <w:pStyle w:val="NoSpacing"/>
        <w:rPr>
          <w:b/>
          <w:sz w:val="18"/>
          <w:szCs w:val="18"/>
        </w:rPr>
      </w:pPr>
    </w:p>
    <w:p w:rsidR="004331D7" w:rsidRPr="004331D7" w:rsidRDefault="004331D7" w:rsidP="004331D7">
      <w:pPr>
        <w:pStyle w:val="NoSpacing"/>
        <w:rPr>
          <w:b/>
          <w:sz w:val="18"/>
          <w:szCs w:val="18"/>
        </w:rPr>
      </w:pPr>
      <w:r w:rsidRPr="004331D7">
        <w:rPr>
          <w:b/>
          <w:sz w:val="18"/>
          <w:szCs w:val="18"/>
        </w:rPr>
        <w:t>Location</w:t>
      </w:r>
    </w:p>
    <w:p w:rsidR="004331D7" w:rsidRDefault="004331D7" w:rsidP="00840A53">
      <w:pPr>
        <w:pStyle w:val="NoSpacing"/>
        <w:ind w:left="720"/>
        <w:rPr>
          <w:sz w:val="18"/>
          <w:szCs w:val="18"/>
        </w:rPr>
      </w:pPr>
      <w:r w:rsidRPr="004331D7">
        <w:rPr>
          <w:sz w:val="18"/>
          <w:szCs w:val="18"/>
        </w:rPr>
        <w:t>locationID | higherGeographyID | higherGeography | continent | waterBody | islandGroup | island | country | countryCode | stateProvince | county | municipality | locality | verbatimLocality | minimumElevationInMeters | maximumElevationInMeters | verbatimElevation | minimumDepthInMeters | maximumDepthInMeters | verbatimDepth | minimumDistanceAboveSurfaceInMeters | maximumDistanceAboveSurfaceInMeters | locationAccordingTo | locationRemarks | decimalLatitude | decimalLongitude | geodeticDatum | coordinateUncertaintyInMeters | coordinatePrecision | pointRadiusSpatialFit | verbatimCoordinates | verbatimLatitude | verbatimLongitude | verbatimCoordinateSystem | verbatimSRS | footprintWKT | footprintSRS | footprintSpatialFit | georeferencedBy | georeferencedDate | georeferenceProtocol | georeferenceSources | georeferenceVerificationStatus | georeferenceRemarks</w:t>
      </w:r>
    </w:p>
    <w:p w:rsidR="00840A53" w:rsidRPr="004331D7" w:rsidRDefault="00840A53" w:rsidP="00840A53">
      <w:pPr>
        <w:pStyle w:val="NoSpacing"/>
        <w:ind w:left="720"/>
        <w:rPr>
          <w:sz w:val="18"/>
          <w:szCs w:val="18"/>
        </w:rPr>
      </w:pPr>
    </w:p>
    <w:p w:rsidR="004331D7" w:rsidRPr="004331D7" w:rsidRDefault="004331D7" w:rsidP="004331D7">
      <w:pPr>
        <w:pStyle w:val="NoSpacing"/>
        <w:rPr>
          <w:b/>
          <w:sz w:val="18"/>
          <w:szCs w:val="18"/>
        </w:rPr>
      </w:pPr>
      <w:r w:rsidRPr="004331D7">
        <w:rPr>
          <w:b/>
          <w:sz w:val="18"/>
          <w:szCs w:val="18"/>
        </w:rPr>
        <w:t>GeologicalContext</w:t>
      </w:r>
    </w:p>
    <w:p w:rsidR="004331D7" w:rsidRDefault="004331D7" w:rsidP="00840A53">
      <w:pPr>
        <w:pStyle w:val="NoSpacing"/>
        <w:ind w:left="720"/>
        <w:rPr>
          <w:sz w:val="18"/>
          <w:szCs w:val="18"/>
        </w:rPr>
      </w:pPr>
      <w:r w:rsidRPr="004331D7">
        <w:rPr>
          <w:sz w:val="18"/>
          <w:szCs w:val="18"/>
        </w:rPr>
        <w:t>geologicalContextID | earliestEonOrLowestEonothem | latestEonOrHighestEonothem | earliestEraOrLowestErathem | latestEraOrHighestErathem | earliestPeriodOrLowestSystem | latestPeriodOrHighestSystem | earliestEpochOrLowestSeries | latestEpochOrHighestSeries | earliestAgeOrLowestStage | latestAgeOrHighestStage | lowestBiostratigraphicZone | highestBiostratigraphicZone | lithostratigraphicTerms | group | formation | member | bed</w:t>
      </w:r>
    </w:p>
    <w:p w:rsidR="00840A53" w:rsidRPr="004331D7" w:rsidRDefault="00840A53" w:rsidP="00840A53">
      <w:pPr>
        <w:pStyle w:val="NoSpacing"/>
        <w:ind w:left="720"/>
        <w:rPr>
          <w:sz w:val="18"/>
          <w:szCs w:val="18"/>
        </w:rPr>
      </w:pPr>
    </w:p>
    <w:p w:rsidR="004331D7" w:rsidRPr="004331D7" w:rsidRDefault="00840A53" w:rsidP="004331D7">
      <w:pPr>
        <w:pStyle w:val="NoSpacing"/>
        <w:rPr>
          <w:b/>
          <w:sz w:val="18"/>
          <w:szCs w:val="18"/>
        </w:rPr>
      </w:pPr>
      <w:r>
        <w:rPr>
          <w:b/>
          <w:sz w:val="18"/>
          <w:szCs w:val="18"/>
        </w:rPr>
        <w:t>I</w:t>
      </w:r>
      <w:r w:rsidR="004331D7" w:rsidRPr="004331D7">
        <w:rPr>
          <w:b/>
          <w:sz w:val="18"/>
          <w:szCs w:val="18"/>
        </w:rPr>
        <w:t>dentification</w:t>
      </w:r>
    </w:p>
    <w:p w:rsidR="004331D7" w:rsidRDefault="004331D7" w:rsidP="00840A53">
      <w:pPr>
        <w:pStyle w:val="NoSpacing"/>
        <w:ind w:left="720"/>
        <w:rPr>
          <w:sz w:val="18"/>
          <w:szCs w:val="18"/>
        </w:rPr>
      </w:pPr>
      <w:r w:rsidRPr="004331D7">
        <w:rPr>
          <w:sz w:val="18"/>
          <w:szCs w:val="18"/>
        </w:rPr>
        <w:t>identificationID | identificationQualifier | typeStatus | identifiedBy | dateIdentified | identificationReferences | identificationVerificationStatus | identificationRemarks</w:t>
      </w:r>
    </w:p>
    <w:p w:rsidR="00840A53" w:rsidRPr="004331D7" w:rsidRDefault="00840A53" w:rsidP="00840A53">
      <w:pPr>
        <w:pStyle w:val="NoSpacing"/>
        <w:ind w:left="720"/>
        <w:rPr>
          <w:sz w:val="18"/>
          <w:szCs w:val="18"/>
        </w:rPr>
      </w:pPr>
    </w:p>
    <w:p w:rsidR="004331D7" w:rsidRPr="004331D7" w:rsidRDefault="004331D7" w:rsidP="004331D7">
      <w:pPr>
        <w:pStyle w:val="NoSpacing"/>
        <w:rPr>
          <w:b/>
          <w:sz w:val="18"/>
          <w:szCs w:val="18"/>
        </w:rPr>
      </w:pPr>
      <w:r w:rsidRPr="004331D7">
        <w:rPr>
          <w:b/>
          <w:sz w:val="18"/>
          <w:szCs w:val="18"/>
        </w:rPr>
        <w:t>Taxon</w:t>
      </w:r>
    </w:p>
    <w:p w:rsidR="004331D7" w:rsidRPr="004331D7" w:rsidRDefault="004331D7" w:rsidP="00840A53">
      <w:pPr>
        <w:pStyle w:val="NoSpacing"/>
        <w:ind w:left="720"/>
        <w:rPr>
          <w:sz w:val="18"/>
          <w:szCs w:val="18"/>
        </w:rPr>
      </w:pPr>
      <w:r w:rsidRPr="004331D7">
        <w:rPr>
          <w:sz w:val="18"/>
          <w:szCs w:val="18"/>
        </w:rPr>
        <w:t>taxonID | scientificNameID | acceptedNameUsageID | parentNameUsageID | originalNameUsageID | nameAccordingToID | namePublishedInID | taxonConceptID | scientificName | acceptedNameUsage | parentNameUsage | originalNameUsage | nameAccordingTo | namePublishedIn | namePublishedInYear | higherClassification | kingdom | phylum | class | order | family | genus | subgenus | specificEpithet | infraspecificEpithet | taxonRank | verbatimTaxonRank | scientificNameAuthorship | vernacularName | nomenclaturalCode | taxonomicStatus | nomenclaturalStatus | taxonRemarks</w:t>
      </w:r>
    </w:p>
    <w:p w:rsidR="00840A53" w:rsidRDefault="00840A53" w:rsidP="004331D7">
      <w:pPr>
        <w:pStyle w:val="NoSpacing"/>
        <w:rPr>
          <w:sz w:val="18"/>
          <w:szCs w:val="18"/>
        </w:rPr>
      </w:pPr>
    </w:p>
    <w:p w:rsidR="004331D7" w:rsidRPr="004331D7" w:rsidRDefault="004331D7" w:rsidP="004331D7">
      <w:pPr>
        <w:pStyle w:val="NoSpacing"/>
        <w:rPr>
          <w:sz w:val="18"/>
          <w:szCs w:val="18"/>
        </w:rPr>
      </w:pPr>
      <w:r w:rsidRPr="004331D7">
        <w:rPr>
          <w:sz w:val="18"/>
          <w:szCs w:val="18"/>
        </w:rPr>
        <w:t>Auxiliary Terms</w:t>
      </w:r>
    </w:p>
    <w:p w:rsidR="004331D7" w:rsidRPr="004331D7" w:rsidRDefault="004331D7" w:rsidP="004331D7">
      <w:pPr>
        <w:pStyle w:val="NoSpacing"/>
        <w:rPr>
          <w:sz w:val="18"/>
          <w:szCs w:val="18"/>
        </w:rPr>
      </w:pPr>
    </w:p>
    <w:p w:rsidR="004331D7" w:rsidRPr="004331D7" w:rsidRDefault="004331D7" w:rsidP="004331D7">
      <w:pPr>
        <w:pStyle w:val="NoSpacing"/>
        <w:rPr>
          <w:b/>
          <w:sz w:val="18"/>
          <w:szCs w:val="18"/>
        </w:rPr>
      </w:pPr>
      <w:r w:rsidRPr="004331D7">
        <w:rPr>
          <w:b/>
          <w:sz w:val="18"/>
          <w:szCs w:val="18"/>
        </w:rPr>
        <w:t>MeasurementOrFact</w:t>
      </w:r>
    </w:p>
    <w:p w:rsidR="004331D7" w:rsidRDefault="004331D7" w:rsidP="00840A53">
      <w:pPr>
        <w:pStyle w:val="NoSpacing"/>
        <w:ind w:left="720"/>
        <w:rPr>
          <w:sz w:val="18"/>
          <w:szCs w:val="18"/>
        </w:rPr>
      </w:pPr>
      <w:r w:rsidRPr="004331D7">
        <w:rPr>
          <w:sz w:val="18"/>
          <w:szCs w:val="18"/>
        </w:rPr>
        <w:t>measurementID | measurementType | measurementValue | measurementAccuracy | measurementUnit | measurementDeterminedBy | measurementDeterminedDate | measurementMethod | measurementRemarks</w:t>
      </w:r>
    </w:p>
    <w:p w:rsidR="00840A53" w:rsidRPr="004331D7" w:rsidRDefault="00840A53" w:rsidP="00840A53">
      <w:pPr>
        <w:pStyle w:val="NoSpacing"/>
        <w:ind w:left="720"/>
        <w:rPr>
          <w:sz w:val="18"/>
          <w:szCs w:val="18"/>
        </w:rPr>
      </w:pPr>
    </w:p>
    <w:p w:rsidR="004331D7" w:rsidRPr="004331D7" w:rsidRDefault="004331D7" w:rsidP="004331D7">
      <w:pPr>
        <w:pStyle w:val="NoSpacing"/>
        <w:rPr>
          <w:b/>
          <w:sz w:val="18"/>
          <w:szCs w:val="18"/>
        </w:rPr>
      </w:pPr>
      <w:r w:rsidRPr="004331D7">
        <w:rPr>
          <w:b/>
          <w:sz w:val="18"/>
          <w:szCs w:val="18"/>
        </w:rPr>
        <w:t>ResourceRelationship</w:t>
      </w:r>
    </w:p>
    <w:p w:rsidR="004331D7" w:rsidRDefault="004331D7" w:rsidP="00840A53">
      <w:pPr>
        <w:pStyle w:val="NoSpacing"/>
        <w:ind w:left="720"/>
        <w:rPr>
          <w:sz w:val="18"/>
          <w:szCs w:val="18"/>
        </w:rPr>
      </w:pPr>
      <w:r w:rsidRPr="004331D7">
        <w:rPr>
          <w:sz w:val="18"/>
          <w:szCs w:val="18"/>
        </w:rPr>
        <w:t>resourceRelationshipID | resourceID | relatedResourceID | relationshipOfResource | relationshipAccordingTo | relationshipEstablishedDate | relationshipRemarks</w:t>
      </w:r>
    </w:p>
    <w:p w:rsidR="00212B4E" w:rsidRDefault="00212B4E" w:rsidP="006C6BB5">
      <w:pPr>
        <w:pStyle w:val="NoSpacing"/>
        <w:rPr>
          <w:b/>
          <w:sz w:val="18"/>
          <w:szCs w:val="18"/>
        </w:rPr>
      </w:pPr>
    </w:p>
    <w:p w:rsidR="00212B4E" w:rsidRDefault="00212B4E" w:rsidP="006C6BB5">
      <w:pPr>
        <w:pStyle w:val="NoSpacing"/>
        <w:rPr>
          <w:b/>
          <w:sz w:val="18"/>
          <w:szCs w:val="18"/>
        </w:rPr>
      </w:pPr>
    </w:p>
    <w:p w:rsidR="00526AEC" w:rsidRDefault="00526AEC" w:rsidP="006C6BB5">
      <w:pPr>
        <w:pStyle w:val="NoSpacing"/>
        <w:rPr>
          <w:b/>
          <w:sz w:val="18"/>
          <w:szCs w:val="18"/>
        </w:rPr>
      </w:pPr>
    </w:p>
    <w:p w:rsidR="006C6BB5" w:rsidRDefault="006C6BB5" w:rsidP="006C6BB5">
      <w:pPr>
        <w:pStyle w:val="NoSpacing"/>
        <w:rPr>
          <w:sz w:val="18"/>
          <w:szCs w:val="18"/>
        </w:rPr>
      </w:pPr>
      <w:r w:rsidRPr="00176BD4">
        <w:rPr>
          <w:b/>
          <w:sz w:val="18"/>
          <w:szCs w:val="18"/>
        </w:rPr>
        <w:lastRenderedPageBreak/>
        <w:t>Audubon Media Description.</w:t>
      </w:r>
      <w:r w:rsidRPr="006C6BB5">
        <w:t xml:space="preserve"> </w:t>
      </w:r>
      <w:r w:rsidRPr="006C6BB5">
        <w:rPr>
          <w:sz w:val="18"/>
          <w:szCs w:val="18"/>
        </w:rPr>
        <w:t xml:space="preserve">The Audubon Core Multimedia Resources Metadata schema </w:t>
      </w:r>
      <w:r>
        <w:rPr>
          <w:sz w:val="18"/>
          <w:szCs w:val="18"/>
        </w:rPr>
        <w:t>(AC)</w:t>
      </w:r>
      <w:r w:rsidRPr="006C6BB5">
        <w:rPr>
          <w:sz w:val="18"/>
          <w:szCs w:val="18"/>
        </w:rPr>
        <w:t xml:space="preserve"> is a set of metadata vocabularies for describing biodiversity-related multimedia resources and collections.</w:t>
      </w:r>
      <w:r>
        <w:rPr>
          <w:sz w:val="18"/>
          <w:szCs w:val="18"/>
        </w:rPr>
        <w:t xml:space="preserve"> (source: </w:t>
      </w:r>
      <w:hyperlink r:id="rId10" w:history="1">
        <w:r w:rsidR="00176BD4" w:rsidRPr="00E375E6">
          <w:rPr>
            <w:rStyle w:val="Hyperlink"/>
            <w:sz w:val="18"/>
            <w:szCs w:val="18"/>
          </w:rPr>
          <w:t>http://terms.tdwg.org/wiki/Audubon_Core</w:t>
        </w:r>
      </w:hyperlink>
      <w:r>
        <w:rPr>
          <w:sz w:val="18"/>
          <w:szCs w:val="18"/>
        </w:rPr>
        <w:t>)</w:t>
      </w:r>
    </w:p>
    <w:p w:rsidR="00176BD4" w:rsidRDefault="00176BD4" w:rsidP="006C6BB5">
      <w:pPr>
        <w:pStyle w:val="NoSpacing"/>
        <w:rPr>
          <w:sz w:val="18"/>
          <w:szCs w:val="18"/>
        </w:rPr>
      </w:pPr>
    </w:p>
    <w:p w:rsidR="00176BD4" w:rsidRPr="00176BD4" w:rsidRDefault="00176BD4" w:rsidP="00176BD4">
      <w:pPr>
        <w:pStyle w:val="NoSpacing"/>
        <w:rPr>
          <w:i/>
          <w:sz w:val="18"/>
          <w:szCs w:val="18"/>
        </w:rPr>
      </w:pPr>
      <w:r w:rsidRPr="00176BD4">
        <w:rPr>
          <w:b/>
          <w:sz w:val="18"/>
          <w:szCs w:val="18"/>
        </w:rPr>
        <w:t>Index By Term Name</w:t>
      </w:r>
      <w:r w:rsidR="00212B4E">
        <w:rPr>
          <w:b/>
          <w:sz w:val="18"/>
          <w:szCs w:val="18"/>
        </w:rPr>
        <w:t xml:space="preserve">  </w:t>
      </w:r>
      <w:r w:rsidRPr="00176BD4">
        <w:rPr>
          <w:i/>
          <w:sz w:val="18"/>
          <w:szCs w:val="18"/>
        </w:rPr>
        <w:t>(See also Index By Label below)</w:t>
      </w:r>
    </w:p>
    <w:p w:rsidR="00176BD4" w:rsidRPr="00176BD4" w:rsidRDefault="00176BD4" w:rsidP="00176BD4">
      <w:pPr>
        <w:pStyle w:val="NoSpacing"/>
        <w:rPr>
          <w:sz w:val="18"/>
          <w:szCs w:val="18"/>
        </w:rPr>
      </w:pPr>
    </w:p>
    <w:p w:rsidR="00176BD4" w:rsidRPr="00176BD4" w:rsidRDefault="00176BD4" w:rsidP="00176BD4">
      <w:pPr>
        <w:pStyle w:val="NoSpacing"/>
        <w:rPr>
          <w:b/>
          <w:sz w:val="18"/>
          <w:szCs w:val="18"/>
        </w:rPr>
      </w:pPr>
      <w:r w:rsidRPr="00176BD4">
        <w:rPr>
          <w:b/>
          <w:sz w:val="18"/>
          <w:szCs w:val="18"/>
        </w:rPr>
        <w:t>Management Vocabulary</w:t>
      </w:r>
    </w:p>
    <w:p w:rsidR="00176BD4" w:rsidRPr="00176BD4" w:rsidRDefault="00176BD4" w:rsidP="00176BD4">
      <w:pPr>
        <w:pStyle w:val="NoSpacing"/>
        <w:ind w:left="720"/>
        <w:rPr>
          <w:sz w:val="18"/>
          <w:szCs w:val="18"/>
        </w:rPr>
      </w:pPr>
      <w:r w:rsidRPr="00176BD4">
        <w:rPr>
          <w:sz w:val="18"/>
          <w:szCs w:val="18"/>
        </w:rPr>
        <w:t>| dcterms:identifier | | dc:type | | dcterms:type | | ac:subtypeLiteral | | ac:subtype | | dcterms:title | | dcterms:modified | | xmp:MetadataDate | | ac:metadataLanguageLiteral | | ac:metadataLanguage | | ac:providerManagedID | | xmp:Rating | | ac:commenter | | ac:commenterLiteral | | ac:comments | | ac:reviewer | | ac:reviewerLiteral | | ac:reviewerComments | | dcterms:available | | ac:hasServiceAccessPoint |</w:t>
      </w:r>
    </w:p>
    <w:p w:rsidR="00176BD4" w:rsidRPr="00176BD4" w:rsidRDefault="00176BD4" w:rsidP="00176BD4">
      <w:pPr>
        <w:pStyle w:val="NoSpacing"/>
        <w:rPr>
          <w:b/>
          <w:sz w:val="18"/>
          <w:szCs w:val="18"/>
        </w:rPr>
      </w:pPr>
      <w:r w:rsidRPr="00176BD4">
        <w:rPr>
          <w:b/>
          <w:sz w:val="18"/>
          <w:szCs w:val="18"/>
        </w:rPr>
        <w:t>Attribution Vocabulary</w:t>
      </w:r>
    </w:p>
    <w:p w:rsidR="00176BD4" w:rsidRPr="00176BD4" w:rsidRDefault="00176BD4" w:rsidP="00176BD4">
      <w:pPr>
        <w:pStyle w:val="NoSpacing"/>
        <w:ind w:left="720"/>
        <w:rPr>
          <w:sz w:val="18"/>
          <w:szCs w:val="18"/>
        </w:rPr>
      </w:pPr>
      <w:r w:rsidRPr="00176BD4">
        <w:rPr>
          <w:sz w:val="18"/>
          <w:szCs w:val="18"/>
        </w:rPr>
        <w:t>| dc:rights | | dcterms:rights | | xmpRights:Owner | | xmpRights:UsageTerms | | xmpRights:WebStatement | | ac:licenseLogoURL | | photoshop:Credit | | ac:attributionLogoURL | | ac:attributionLinkURL | | ac:fundingAttribution | | dc:source | | dcterms:source |</w:t>
      </w:r>
    </w:p>
    <w:p w:rsidR="00176BD4" w:rsidRPr="00176BD4" w:rsidRDefault="00176BD4" w:rsidP="00176BD4">
      <w:pPr>
        <w:pStyle w:val="NoSpacing"/>
        <w:rPr>
          <w:b/>
          <w:sz w:val="18"/>
          <w:szCs w:val="18"/>
        </w:rPr>
      </w:pPr>
      <w:r w:rsidRPr="00176BD4">
        <w:rPr>
          <w:b/>
          <w:sz w:val="18"/>
          <w:szCs w:val="18"/>
        </w:rPr>
        <w:t>Agents Vocabulary</w:t>
      </w:r>
    </w:p>
    <w:p w:rsidR="00176BD4" w:rsidRPr="00176BD4" w:rsidRDefault="00176BD4" w:rsidP="00176BD4">
      <w:pPr>
        <w:pStyle w:val="NoSpacing"/>
        <w:ind w:left="720"/>
        <w:rPr>
          <w:sz w:val="18"/>
          <w:szCs w:val="18"/>
        </w:rPr>
      </w:pPr>
      <w:r w:rsidRPr="00176BD4">
        <w:rPr>
          <w:sz w:val="18"/>
          <w:szCs w:val="18"/>
        </w:rPr>
        <w:t>| dc:creator | | dcterms:creator | | ac:providerLiteral | | ac:provider | | ac:metadataProviderLiteral | | ac:metadataProvider | | ac:metadataCreatorLiteral | | ac:metadataCreator |</w:t>
      </w:r>
    </w:p>
    <w:p w:rsidR="00176BD4" w:rsidRPr="00176BD4" w:rsidRDefault="00176BD4" w:rsidP="00176BD4">
      <w:pPr>
        <w:pStyle w:val="NoSpacing"/>
        <w:rPr>
          <w:b/>
          <w:sz w:val="18"/>
          <w:szCs w:val="18"/>
        </w:rPr>
      </w:pPr>
      <w:r w:rsidRPr="00176BD4">
        <w:rPr>
          <w:b/>
          <w:sz w:val="18"/>
          <w:szCs w:val="18"/>
        </w:rPr>
        <w:t>Content Coverage Vocabulary</w:t>
      </w:r>
    </w:p>
    <w:p w:rsidR="00176BD4" w:rsidRPr="00176BD4" w:rsidRDefault="00176BD4" w:rsidP="00212B4E">
      <w:pPr>
        <w:pStyle w:val="NoSpacing"/>
        <w:ind w:left="720"/>
        <w:rPr>
          <w:sz w:val="18"/>
          <w:szCs w:val="18"/>
        </w:rPr>
      </w:pPr>
      <w:r w:rsidRPr="00176BD4">
        <w:rPr>
          <w:sz w:val="18"/>
          <w:szCs w:val="18"/>
        </w:rPr>
        <w:t>| dcterms:description | | ac:caption | | dc:language | | dcterms:language | | ac:physicalSetting | | Iptc4xmpExt:CVterm | | ac:subjectCategoryVocabulary | | ac:tag |</w:t>
      </w:r>
    </w:p>
    <w:p w:rsidR="00176BD4" w:rsidRPr="00176BD4" w:rsidRDefault="00176BD4" w:rsidP="00176BD4">
      <w:pPr>
        <w:pStyle w:val="NoSpacing"/>
        <w:rPr>
          <w:b/>
          <w:sz w:val="18"/>
          <w:szCs w:val="18"/>
        </w:rPr>
      </w:pPr>
      <w:r w:rsidRPr="00176BD4">
        <w:rPr>
          <w:b/>
          <w:sz w:val="18"/>
          <w:szCs w:val="18"/>
        </w:rPr>
        <w:t>Geography Vocabulary</w:t>
      </w:r>
    </w:p>
    <w:p w:rsidR="00176BD4" w:rsidRPr="00176BD4" w:rsidRDefault="00176BD4" w:rsidP="00212B4E">
      <w:pPr>
        <w:pStyle w:val="NoSpacing"/>
        <w:ind w:left="720"/>
        <w:rPr>
          <w:sz w:val="18"/>
          <w:szCs w:val="18"/>
        </w:rPr>
      </w:pPr>
      <w:r w:rsidRPr="00176BD4">
        <w:rPr>
          <w:sz w:val="18"/>
          <w:szCs w:val="18"/>
        </w:rPr>
        <w:t>| Iptc4xmpExt:LocationShown | | Iptc4xmpExt:WorldRegion | | Iptc4xmpExt:CountryCode | | Iptc4xmpExt:CountryName | | Iptc4xmpExt:ProvinceState | | Iptc4xmpExt:City | | Iptc4xmpExt:Sublocation |</w:t>
      </w:r>
    </w:p>
    <w:p w:rsidR="00176BD4" w:rsidRPr="00212B4E" w:rsidRDefault="00176BD4" w:rsidP="00176BD4">
      <w:pPr>
        <w:pStyle w:val="NoSpacing"/>
        <w:rPr>
          <w:b/>
          <w:sz w:val="18"/>
          <w:szCs w:val="18"/>
        </w:rPr>
      </w:pPr>
      <w:r w:rsidRPr="00212B4E">
        <w:rPr>
          <w:b/>
          <w:sz w:val="18"/>
          <w:szCs w:val="18"/>
        </w:rPr>
        <w:t>Temporal Coverage Vocabulary</w:t>
      </w:r>
    </w:p>
    <w:p w:rsidR="00176BD4" w:rsidRPr="00176BD4" w:rsidRDefault="00176BD4" w:rsidP="00212B4E">
      <w:pPr>
        <w:pStyle w:val="NoSpacing"/>
        <w:ind w:left="720"/>
        <w:rPr>
          <w:sz w:val="18"/>
          <w:szCs w:val="18"/>
        </w:rPr>
      </w:pPr>
      <w:r w:rsidRPr="00176BD4">
        <w:rPr>
          <w:sz w:val="18"/>
          <w:szCs w:val="18"/>
        </w:rPr>
        <w:t>| dcterms:temporal | | xmp:CreateDate | | ac:timeOfDay |</w:t>
      </w:r>
    </w:p>
    <w:p w:rsidR="00176BD4" w:rsidRPr="00212B4E" w:rsidRDefault="00176BD4" w:rsidP="00176BD4">
      <w:pPr>
        <w:pStyle w:val="NoSpacing"/>
        <w:rPr>
          <w:b/>
          <w:sz w:val="18"/>
          <w:szCs w:val="18"/>
        </w:rPr>
      </w:pPr>
      <w:r w:rsidRPr="00212B4E">
        <w:rPr>
          <w:b/>
          <w:sz w:val="18"/>
          <w:szCs w:val="18"/>
        </w:rPr>
        <w:t>Taxonomic Coverage Vocabulary</w:t>
      </w:r>
    </w:p>
    <w:p w:rsidR="00176BD4" w:rsidRPr="00176BD4" w:rsidRDefault="00176BD4" w:rsidP="00212B4E">
      <w:pPr>
        <w:pStyle w:val="NoSpacing"/>
        <w:ind w:left="720"/>
        <w:rPr>
          <w:sz w:val="18"/>
          <w:szCs w:val="18"/>
        </w:rPr>
      </w:pPr>
      <w:r w:rsidRPr="00176BD4">
        <w:rPr>
          <w:sz w:val="18"/>
          <w:szCs w:val="18"/>
        </w:rPr>
        <w:t>| ac:taxonCoverage | | dwc:scientificName | | dwc:identificationQualifier | | dwc:vernacularName | | dwc:nameAccordingTo | | dwc:scientificNameID | | ac:otherScientificName | | dwc:identifiedBy | | dwc:dateIdentified | | ac:taxonCount | | ac:subjectPart | | dwc:sex | | dwc:lifeStage | | ac:subjectOrientation |</w:t>
      </w:r>
    </w:p>
    <w:p w:rsidR="00176BD4" w:rsidRPr="00212B4E" w:rsidRDefault="00176BD4" w:rsidP="00176BD4">
      <w:pPr>
        <w:pStyle w:val="NoSpacing"/>
        <w:rPr>
          <w:b/>
          <w:sz w:val="18"/>
          <w:szCs w:val="18"/>
        </w:rPr>
      </w:pPr>
      <w:r w:rsidRPr="00212B4E">
        <w:rPr>
          <w:b/>
          <w:sz w:val="18"/>
          <w:szCs w:val="18"/>
        </w:rPr>
        <w:t>Resource Creation Vocabulary</w:t>
      </w:r>
    </w:p>
    <w:p w:rsidR="00176BD4" w:rsidRPr="00176BD4" w:rsidRDefault="00176BD4" w:rsidP="00212B4E">
      <w:pPr>
        <w:pStyle w:val="NoSpacing"/>
        <w:ind w:left="720"/>
        <w:rPr>
          <w:sz w:val="18"/>
          <w:szCs w:val="18"/>
        </w:rPr>
      </w:pPr>
      <w:r w:rsidRPr="00176BD4">
        <w:rPr>
          <w:sz w:val="18"/>
          <w:szCs w:val="18"/>
        </w:rPr>
        <w:t>| Iptc4xmpExt:LocationCreated | | ac:digitizationDate | | ac:captureDevice | | ac:resourceCreationTechnique |</w:t>
      </w:r>
    </w:p>
    <w:p w:rsidR="00176BD4" w:rsidRPr="00212B4E" w:rsidRDefault="00176BD4" w:rsidP="00176BD4">
      <w:pPr>
        <w:pStyle w:val="NoSpacing"/>
        <w:rPr>
          <w:b/>
          <w:sz w:val="18"/>
          <w:szCs w:val="18"/>
        </w:rPr>
      </w:pPr>
      <w:r w:rsidRPr="00212B4E">
        <w:rPr>
          <w:b/>
          <w:sz w:val="18"/>
          <w:szCs w:val="18"/>
        </w:rPr>
        <w:t>Related Resources Vocabulary</w:t>
      </w:r>
    </w:p>
    <w:p w:rsidR="00176BD4" w:rsidRPr="00176BD4" w:rsidRDefault="00176BD4" w:rsidP="00212B4E">
      <w:pPr>
        <w:pStyle w:val="NoSpacing"/>
        <w:ind w:left="720"/>
        <w:rPr>
          <w:sz w:val="18"/>
          <w:szCs w:val="18"/>
        </w:rPr>
      </w:pPr>
      <w:r w:rsidRPr="00176BD4">
        <w:rPr>
          <w:sz w:val="18"/>
          <w:szCs w:val="18"/>
        </w:rPr>
        <w:t>| ac:IDofContainingCollection | | ac:relatedResourceID | | ac:providerID | | ac:derivedFrom | | ac:associatedSpecimenReference | | ac:associatedObservationReference |</w:t>
      </w:r>
    </w:p>
    <w:p w:rsidR="00176BD4" w:rsidRPr="00212B4E" w:rsidRDefault="00176BD4" w:rsidP="00176BD4">
      <w:pPr>
        <w:pStyle w:val="NoSpacing"/>
        <w:rPr>
          <w:b/>
          <w:sz w:val="18"/>
          <w:szCs w:val="18"/>
        </w:rPr>
      </w:pPr>
      <w:r w:rsidRPr="00212B4E">
        <w:rPr>
          <w:b/>
          <w:sz w:val="18"/>
          <w:szCs w:val="18"/>
        </w:rPr>
        <w:t>Service Access Point Vocabulary</w:t>
      </w:r>
    </w:p>
    <w:p w:rsidR="00176BD4" w:rsidRPr="00176BD4" w:rsidRDefault="00176BD4" w:rsidP="00212B4E">
      <w:pPr>
        <w:pStyle w:val="NoSpacing"/>
        <w:ind w:left="720"/>
        <w:rPr>
          <w:sz w:val="18"/>
          <w:szCs w:val="18"/>
        </w:rPr>
      </w:pPr>
      <w:r w:rsidRPr="00176BD4">
        <w:rPr>
          <w:sz w:val="18"/>
          <w:szCs w:val="18"/>
        </w:rPr>
        <w:t>| ac:accessURI | | dc:format | | dcterms:format | | ac:variantLiteral | | ac:variant | | ac:variantDescription | | ac:furtherInformationURL | | ac:licensingException | | ac:serviceExpectation | | ac:hashFunction | | ac:hashValue | | exif:PixelXDimension | | exif:PixelYDimension |</w:t>
      </w:r>
    </w:p>
    <w:p w:rsidR="00176BD4" w:rsidRPr="00176BD4" w:rsidRDefault="00212B4E" w:rsidP="00176BD4">
      <w:pPr>
        <w:pStyle w:val="NoSpacing"/>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9524</wp:posOffset>
                </wp:positionH>
                <wp:positionV relativeFrom="paragraph">
                  <wp:posOffset>27305</wp:posOffset>
                </wp:positionV>
                <wp:extent cx="6772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772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07723"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2.15pt" to="53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" strokecolor="#5b9bd5 [3204]" strokeweight=".5pt">
                <v:stroke joinstyle="miter"/>
              </v:line>
            </w:pict>
          </mc:Fallback>
        </mc:AlternateContent>
      </w:r>
    </w:p>
    <w:p w:rsidR="00176BD4" w:rsidRPr="00212B4E" w:rsidRDefault="00176BD4" w:rsidP="00176BD4">
      <w:pPr>
        <w:pStyle w:val="NoSpacing"/>
        <w:rPr>
          <w:b/>
          <w:sz w:val="18"/>
          <w:szCs w:val="18"/>
        </w:rPr>
      </w:pPr>
      <w:r w:rsidRPr="00212B4E">
        <w:rPr>
          <w:b/>
          <w:sz w:val="18"/>
          <w:szCs w:val="18"/>
        </w:rPr>
        <w:t>Index By Label</w:t>
      </w:r>
    </w:p>
    <w:p w:rsidR="00176BD4" w:rsidRPr="00212B4E" w:rsidRDefault="00176BD4" w:rsidP="00176BD4">
      <w:pPr>
        <w:pStyle w:val="NoSpacing"/>
        <w:rPr>
          <w:i/>
          <w:sz w:val="18"/>
          <w:szCs w:val="18"/>
        </w:rPr>
      </w:pPr>
      <w:r w:rsidRPr="00212B4E">
        <w:rPr>
          <w:i/>
          <w:sz w:val="18"/>
          <w:szCs w:val="18"/>
        </w:rPr>
        <w:t>(See also Index By Term Name</w:t>
      </w:r>
      <w:r w:rsidR="00212B4E">
        <w:rPr>
          <w:i/>
          <w:sz w:val="18"/>
          <w:szCs w:val="18"/>
        </w:rPr>
        <w:t xml:space="preserve"> above</w:t>
      </w:r>
      <w:r w:rsidRPr="00212B4E">
        <w:rPr>
          <w:i/>
          <w:sz w:val="18"/>
          <w:szCs w:val="18"/>
        </w:rPr>
        <w:t>)</w:t>
      </w:r>
    </w:p>
    <w:p w:rsidR="00176BD4" w:rsidRPr="00176BD4" w:rsidRDefault="00176BD4" w:rsidP="00176BD4">
      <w:pPr>
        <w:pStyle w:val="NoSpacing"/>
        <w:rPr>
          <w:sz w:val="18"/>
          <w:szCs w:val="18"/>
        </w:rPr>
      </w:pPr>
    </w:p>
    <w:p w:rsidR="00176BD4" w:rsidRPr="00212B4E" w:rsidRDefault="00176BD4" w:rsidP="00176BD4">
      <w:pPr>
        <w:pStyle w:val="NoSpacing"/>
        <w:rPr>
          <w:b/>
          <w:sz w:val="18"/>
          <w:szCs w:val="18"/>
        </w:rPr>
      </w:pPr>
      <w:r w:rsidRPr="00212B4E">
        <w:rPr>
          <w:b/>
          <w:sz w:val="18"/>
          <w:szCs w:val="18"/>
        </w:rPr>
        <w:t>Management Vocabulary</w:t>
      </w:r>
    </w:p>
    <w:p w:rsidR="00176BD4" w:rsidRPr="00176BD4" w:rsidRDefault="00176BD4" w:rsidP="00212B4E">
      <w:pPr>
        <w:pStyle w:val="NoSpacing"/>
        <w:ind w:left="720"/>
        <w:rPr>
          <w:sz w:val="18"/>
          <w:szCs w:val="18"/>
        </w:rPr>
      </w:pPr>
      <w:r w:rsidRPr="00176BD4">
        <w:rPr>
          <w:sz w:val="18"/>
          <w:szCs w:val="18"/>
        </w:rPr>
        <w:t>| Identifier | | Type | | Subtype | | Title | | Modified | | Metadata Date | | Metadata Language | | Provider-managed ID | | Rating | | Commenter | | Comments | | Reviewer | | Reviewer Comments | | Date Available | | Service Access Point |</w:t>
      </w:r>
    </w:p>
    <w:p w:rsidR="00176BD4" w:rsidRPr="00176BD4" w:rsidRDefault="00176BD4" w:rsidP="00176BD4">
      <w:pPr>
        <w:pStyle w:val="NoSpacing"/>
        <w:rPr>
          <w:sz w:val="18"/>
          <w:szCs w:val="18"/>
        </w:rPr>
      </w:pPr>
    </w:p>
    <w:p w:rsidR="00176BD4" w:rsidRPr="00176BD4" w:rsidRDefault="00176BD4" w:rsidP="00212B4E">
      <w:pPr>
        <w:pStyle w:val="NoSpacing"/>
        <w:ind w:left="720"/>
        <w:rPr>
          <w:sz w:val="18"/>
          <w:szCs w:val="18"/>
        </w:rPr>
      </w:pPr>
      <w:r w:rsidRPr="00176BD4">
        <w:rPr>
          <w:sz w:val="18"/>
          <w:szCs w:val="18"/>
        </w:rPr>
        <w:t>Attribution Vocabulary | dc:rights | | dcterms:rights | | Copyright Statement | | Copyright Owner | | Credit | | License Terms | | License URL | | License Logo URL | | Attribution Statement | | Attribution URL | | Attribution Link URL | | Funding | | Published Source |</w:t>
      </w:r>
    </w:p>
    <w:p w:rsidR="00176BD4" w:rsidRPr="00212B4E" w:rsidRDefault="00176BD4" w:rsidP="00176BD4">
      <w:pPr>
        <w:pStyle w:val="NoSpacing"/>
        <w:rPr>
          <w:b/>
          <w:sz w:val="18"/>
          <w:szCs w:val="18"/>
        </w:rPr>
      </w:pPr>
      <w:r w:rsidRPr="00212B4E">
        <w:rPr>
          <w:b/>
          <w:sz w:val="18"/>
          <w:szCs w:val="18"/>
        </w:rPr>
        <w:t>Agents Vocabulary</w:t>
      </w:r>
    </w:p>
    <w:p w:rsidR="00176BD4" w:rsidRPr="00176BD4" w:rsidRDefault="00176BD4" w:rsidP="00212B4E">
      <w:pPr>
        <w:pStyle w:val="NoSpacing"/>
        <w:ind w:left="720"/>
        <w:rPr>
          <w:sz w:val="18"/>
          <w:szCs w:val="18"/>
        </w:rPr>
      </w:pPr>
      <w:r w:rsidRPr="00176BD4">
        <w:rPr>
          <w:sz w:val="18"/>
          <w:szCs w:val="18"/>
        </w:rPr>
        <w:t>| Creator | | Provider | | Metadata Provider | | Metadata Creator |</w:t>
      </w:r>
    </w:p>
    <w:p w:rsidR="00176BD4" w:rsidRPr="00212B4E" w:rsidRDefault="00176BD4" w:rsidP="00176BD4">
      <w:pPr>
        <w:pStyle w:val="NoSpacing"/>
        <w:rPr>
          <w:b/>
          <w:sz w:val="18"/>
          <w:szCs w:val="18"/>
        </w:rPr>
      </w:pPr>
      <w:r w:rsidRPr="00212B4E">
        <w:rPr>
          <w:b/>
          <w:sz w:val="18"/>
          <w:szCs w:val="18"/>
        </w:rPr>
        <w:t>Content Coverage Vocabulary</w:t>
      </w:r>
    </w:p>
    <w:p w:rsidR="00176BD4" w:rsidRPr="00176BD4" w:rsidRDefault="00176BD4" w:rsidP="00212B4E">
      <w:pPr>
        <w:pStyle w:val="NoSpacing"/>
        <w:ind w:left="720"/>
        <w:rPr>
          <w:sz w:val="18"/>
          <w:szCs w:val="18"/>
        </w:rPr>
      </w:pPr>
      <w:r w:rsidRPr="00176BD4">
        <w:rPr>
          <w:sz w:val="18"/>
          <w:szCs w:val="18"/>
        </w:rPr>
        <w:t>| Description | | Caption | | Language | | Physical Setting | | Subject Category | | Subject Category Vocabulary | | Tag |</w:t>
      </w:r>
    </w:p>
    <w:p w:rsidR="00176BD4" w:rsidRPr="00212B4E" w:rsidRDefault="00176BD4" w:rsidP="00176BD4">
      <w:pPr>
        <w:pStyle w:val="NoSpacing"/>
        <w:rPr>
          <w:b/>
          <w:sz w:val="18"/>
          <w:szCs w:val="18"/>
        </w:rPr>
      </w:pPr>
      <w:r w:rsidRPr="00212B4E">
        <w:rPr>
          <w:b/>
          <w:sz w:val="18"/>
          <w:szCs w:val="18"/>
        </w:rPr>
        <w:t>Geography Vocabulary</w:t>
      </w:r>
    </w:p>
    <w:p w:rsidR="00176BD4" w:rsidRPr="00176BD4" w:rsidRDefault="00176BD4" w:rsidP="00212B4E">
      <w:pPr>
        <w:pStyle w:val="NoSpacing"/>
        <w:ind w:left="720"/>
        <w:rPr>
          <w:sz w:val="18"/>
          <w:szCs w:val="18"/>
        </w:rPr>
      </w:pPr>
      <w:r w:rsidRPr="00176BD4">
        <w:rPr>
          <w:sz w:val="18"/>
          <w:szCs w:val="18"/>
        </w:rPr>
        <w:t>| Location Shown | | World Region | | Country Code | | Country Name | | Province or State | | City or Place Name | | Sublocation |</w:t>
      </w:r>
    </w:p>
    <w:p w:rsidR="00176BD4" w:rsidRPr="00212B4E" w:rsidRDefault="00176BD4" w:rsidP="00176BD4">
      <w:pPr>
        <w:pStyle w:val="NoSpacing"/>
        <w:rPr>
          <w:b/>
          <w:sz w:val="18"/>
          <w:szCs w:val="18"/>
        </w:rPr>
      </w:pPr>
      <w:r w:rsidRPr="00212B4E">
        <w:rPr>
          <w:b/>
          <w:sz w:val="18"/>
          <w:szCs w:val="18"/>
        </w:rPr>
        <w:t>Temporal Coverage Vocabulary</w:t>
      </w:r>
    </w:p>
    <w:p w:rsidR="00176BD4" w:rsidRPr="00176BD4" w:rsidRDefault="00176BD4" w:rsidP="00212B4E">
      <w:pPr>
        <w:pStyle w:val="NoSpacing"/>
        <w:ind w:left="720"/>
        <w:rPr>
          <w:sz w:val="18"/>
          <w:szCs w:val="18"/>
        </w:rPr>
      </w:pPr>
      <w:r w:rsidRPr="00176BD4">
        <w:rPr>
          <w:sz w:val="18"/>
          <w:szCs w:val="18"/>
        </w:rPr>
        <w:t>| Temporal Coverage | | Original Date and Time | | Time of Day |</w:t>
      </w:r>
    </w:p>
    <w:p w:rsidR="00176BD4" w:rsidRPr="00212B4E" w:rsidRDefault="00176BD4" w:rsidP="00176BD4">
      <w:pPr>
        <w:pStyle w:val="NoSpacing"/>
        <w:rPr>
          <w:b/>
          <w:sz w:val="18"/>
          <w:szCs w:val="18"/>
        </w:rPr>
      </w:pPr>
      <w:r w:rsidRPr="00212B4E">
        <w:rPr>
          <w:b/>
          <w:sz w:val="18"/>
          <w:szCs w:val="18"/>
        </w:rPr>
        <w:t>Taxonomic Coverage Vocabulary</w:t>
      </w:r>
    </w:p>
    <w:p w:rsidR="00176BD4" w:rsidRPr="00176BD4" w:rsidRDefault="00176BD4" w:rsidP="00212B4E">
      <w:pPr>
        <w:pStyle w:val="NoSpacing"/>
        <w:ind w:left="720"/>
        <w:rPr>
          <w:sz w:val="18"/>
          <w:szCs w:val="18"/>
        </w:rPr>
      </w:pPr>
      <w:r w:rsidRPr="00176BD4">
        <w:rPr>
          <w:sz w:val="18"/>
          <w:szCs w:val="18"/>
        </w:rPr>
        <w:t>| Taxon Coverage | | Taxon Name | | Identification Qualifier | | Common Name | | Name According To | | Scientific Name ID | | Other Scientific Name | | Identified By | | Date Identified | | Taxon Count | | Subject Part | | Subject Sex | | Subject Life Stage | | Subject Orientation |</w:t>
      </w:r>
    </w:p>
    <w:p w:rsidR="00176BD4" w:rsidRPr="00212B4E" w:rsidRDefault="00176BD4" w:rsidP="00176BD4">
      <w:pPr>
        <w:pStyle w:val="NoSpacing"/>
        <w:rPr>
          <w:b/>
          <w:sz w:val="18"/>
          <w:szCs w:val="18"/>
        </w:rPr>
      </w:pPr>
      <w:r w:rsidRPr="00212B4E">
        <w:rPr>
          <w:b/>
          <w:sz w:val="18"/>
          <w:szCs w:val="18"/>
        </w:rPr>
        <w:t>Resource Creation Vocabulary</w:t>
      </w:r>
    </w:p>
    <w:p w:rsidR="00176BD4" w:rsidRPr="00176BD4" w:rsidRDefault="00176BD4" w:rsidP="00212B4E">
      <w:pPr>
        <w:pStyle w:val="NoSpacing"/>
        <w:ind w:left="720"/>
        <w:rPr>
          <w:sz w:val="18"/>
          <w:szCs w:val="18"/>
        </w:rPr>
      </w:pPr>
      <w:r w:rsidRPr="00176BD4">
        <w:rPr>
          <w:sz w:val="18"/>
          <w:szCs w:val="18"/>
        </w:rPr>
        <w:t>| Location Created | | Date and Time Digitized | | Capture Device | | Resource Creation Technique |</w:t>
      </w:r>
    </w:p>
    <w:p w:rsidR="00176BD4" w:rsidRPr="00212B4E" w:rsidRDefault="00176BD4" w:rsidP="00176BD4">
      <w:pPr>
        <w:pStyle w:val="NoSpacing"/>
        <w:rPr>
          <w:b/>
          <w:sz w:val="18"/>
          <w:szCs w:val="18"/>
        </w:rPr>
      </w:pPr>
      <w:r w:rsidRPr="00212B4E">
        <w:rPr>
          <w:b/>
          <w:sz w:val="18"/>
          <w:szCs w:val="18"/>
        </w:rPr>
        <w:t>Related Resources Vocabulary</w:t>
      </w:r>
    </w:p>
    <w:p w:rsidR="00176BD4" w:rsidRPr="00176BD4" w:rsidRDefault="00176BD4" w:rsidP="00212B4E">
      <w:pPr>
        <w:pStyle w:val="NoSpacing"/>
        <w:ind w:left="720"/>
        <w:rPr>
          <w:sz w:val="18"/>
          <w:szCs w:val="18"/>
        </w:rPr>
      </w:pPr>
      <w:r w:rsidRPr="00176BD4">
        <w:rPr>
          <w:sz w:val="18"/>
          <w:szCs w:val="18"/>
        </w:rPr>
        <w:t>| ID of Containing Collection | | Related Resource ID | | Provider ID | | Derived From | | Associated Specimen Reference | | Associated Observation Reference |</w:t>
      </w:r>
    </w:p>
    <w:p w:rsidR="00212B4E" w:rsidRDefault="00176BD4" w:rsidP="00212B4E">
      <w:pPr>
        <w:pStyle w:val="NoSpacing"/>
        <w:rPr>
          <w:b/>
          <w:sz w:val="18"/>
          <w:szCs w:val="18"/>
        </w:rPr>
      </w:pPr>
      <w:r w:rsidRPr="00212B4E">
        <w:rPr>
          <w:b/>
          <w:sz w:val="18"/>
          <w:szCs w:val="18"/>
        </w:rPr>
        <w:t>Service Access Point Vocabulary</w:t>
      </w:r>
    </w:p>
    <w:p w:rsidR="008C4E85" w:rsidRDefault="00176BD4" w:rsidP="00212B4E">
      <w:pPr>
        <w:pStyle w:val="NoSpacing"/>
        <w:ind w:left="720"/>
        <w:rPr>
          <w:sz w:val="18"/>
          <w:szCs w:val="18"/>
        </w:rPr>
      </w:pPr>
      <w:r w:rsidRPr="00176BD4">
        <w:rPr>
          <w:sz w:val="18"/>
          <w:szCs w:val="18"/>
        </w:rPr>
        <w:t>| Access URI | | Format | | Variant | | Variant Description | | Further Information URL | | Licensing Exception Statement | | Service Expectation | | Hash Function | | Hash | | Image Width | | Image Height |</w:t>
      </w:r>
    </w:p>
    <w:p w:rsidR="00A6514A" w:rsidRDefault="00A6514A" w:rsidP="0095430D">
      <w:pPr>
        <w:pStyle w:val="NoSpacing"/>
        <w:rPr>
          <w:b/>
          <w:sz w:val="18"/>
          <w:szCs w:val="18"/>
        </w:rPr>
      </w:pPr>
      <w:r w:rsidRPr="00A6514A">
        <w:rPr>
          <w:b/>
          <w:noProof/>
          <w:sz w:val="18"/>
          <w:szCs w:val="18"/>
        </w:rPr>
        <w:lastRenderedPageBreak/>
        <w:drawing>
          <wp:anchor distT="0" distB="0" distL="457200" distR="457200" simplePos="0" relativeHeight="251660288" behindDoc="1" locked="0" layoutInCell="1" allowOverlap="1" wp14:anchorId="248F3C6F" wp14:editId="260E36C8">
            <wp:simplePos x="0" y="0"/>
            <wp:positionH relativeFrom="column">
              <wp:posOffset>3200400</wp:posOffset>
            </wp:positionH>
            <wp:positionV relativeFrom="paragraph">
              <wp:posOffset>0</wp:posOffset>
            </wp:positionV>
            <wp:extent cx="3790315" cy="2581275"/>
            <wp:effectExtent l="0" t="0" r="635" b="9525"/>
            <wp:wrapTight wrapText="bothSides">
              <wp:wrapPolygon edited="0">
                <wp:start x="0" y="0"/>
                <wp:lineTo x="0" y="21520"/>
                <wp:lineTo x="21495" y="21520"/>
                <wp:lineTo x="21495" y="0"/>
                <wp:lineTo x="0" y="0"/>
              </wp:wrapPolygon>
            </wp:wrapTight>
            <wp:docPr id="3" name="Picture 3" descr="Dwca gg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wca ggb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31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194" w:rsidRPr="003F4194">
        <w:rPr>
          <w:b/>
          <w:sz w:val="18"/>
          <w:szCs w:val="18"/>
        </w:rPr>
        <w:t>Material Sample Core</w:t>
      </w:r>
      <w:r w:rsidR="0095430D" w:rsidRPr="0095430D">
        <w:rPr>
          <w:b/>
          <w:sz w:val="18"/>
          <w:szCs w:val="18"/>
        </w:rPr>
        <w:t xml:space="preserve"> </w:t>
      </w:r>
      <w:r>
        <w:rPr>
          <w:b/>
          <w:sz w:val="18"/>
          <w:szCs w:val="18"/>
        </w:rPr>
        <w:t xml:space="preserve">(see </w:t>
      </w:r>
      <w:r w:rsidRPr="00A6514A">
        <w:rPr>
          <w:b/>
          <w:sz w:val="18"/>
          <w:szCs w:val="18"/>
        </w:rPr>
        <w:t>http://wiki.bgbm.org/dnabankwiki/index.php/DwC</w:t>
      </w:r>
      <w:r>
        <w:rPr>
          <w:b/>
          <w:sz w:val="18"/>
          <w:szCs w:val="18"/>
        </w:rPr>
        <w:t>)</w:t>
      </w:r>
    </w:p>
    <w:p w:rsidR="0095430D" w:rsidRDefault="00A6514A" w:rsidP="0095430D">
      <w:pPr>
        <w:pStyle w:val="NoSpacing"/>
        <w:rPr>
          <w:b/>
          <w:sz w:val="18"/>
          <w:szCs w:val="18"/>
        </w:rPr>
      </w:pPr>
      <w:r>
        <w:rPr>
          <w:b/>
          <w:sz w:val="18"/>
          <w:szCs w:val="18"/>
        </w:rPr>
        <w:t xml:space="preserve">and the corresponding </w:t>
      </w:r>
      <w:r w:rsidR="0095430D" w:rsidRPr="003F4194">
        <w:rPr>
          <w:b/>
          <w:sz w:val="18"/>
          <w:szCs w:val="18"/>
        </w:rPr>
        <w:t>GGBN</w:t>
      </w:r>
      <w:r w:rsidR="0095430D">
        <w:rPr>
          <w:b/>
          <w:sz w:val="18"/>
          <w:szCs w:val="18"/>
        </w:rPr>
        <w:t xml:space="preserve"> Extensions to Darwin Core</w:t>
      </w:r>
    </w:p>
    <w:p w:rsidR="0095430D" w:rsidRPr="0095430D" w:rsidRDefault="00511A2A" w:rsidP="0095430D">
      <w:pPr>
        <w:pStyle w:val="NoSpacing"/>
        <w:rPr>
          <w:sz w:val="18"/>
          <w:szCs w:val="18"/>
        </w:rPr>
      </w:pPr>
      <w:r w:rsidRPr="00511A2A">
        <w:rPr>
          <w:sz w:val="18"/>
          <w:szCs w:val="18"/>
        </w:rPr>
        <w:t>The GGBN Data Standard is a set of vocabularies designed to represent tissue, DNA or RNA samples associated to voucher specimens, tissue samples and collections.</w:t>
      </w:r>
      <w:r>
        <w:rPr>
          <w:sz w:val="18"/>
          <w:szCs w:val="18"/>
        </w:rPr>
        <w:t xml:space="preserve"> (from </w:t>
      </w:r>
      <w:r w:rsidRPr="00511A2A">
        <w:rPr>
          <w:sz w:val="18"/>
          <w:szCs w:val="18"/>
        </w:rPr>
        <w:t>http://terms.tdwg.org/wiki/GGBN_Data_Standard</w:t>
      </w:r>
      <w:r>
        <w:rPr>
          <w:sz w:val="18"/>
          <w:szCs w:val="18"/>
        </w:rPr>
        <w:t>)</w:t>
      </w:r>
    </w:p>
    <w:p w:rsidR="003F4194" w:rsidRDefault="003F4194" w:rsidP="008C4E85">
      <w:pPr>
        <w:pStyle w:val="NoSpacing"/>
        <w:rPr>
          <w:b/>
          <w:sz w:val="18"/>
          <w:szCs w:val="18"/>
        </w:rPr>
      </w:pPr>
    </w:p>
    <w:p w:rsidR="00511A2A" w:rsidRPr="00511A2A" w:rsidRDefault="00511A2A" w:rsidP="00511A2A">
      <w:pPr>
        <w:pStyle w:val="NoSpacing"/>
        <w:rPr>
          <w:sz w:val="18"/>
          <w:szCs w:val="18"/>
        </w:rPr>
      </w:pPr>
      <w:r w:rsidRPr="00511A2A">
        <w:rPr>
          <w:sz w:val="18"/>
          <w:szCs w:val="18"/>
        </w:rPr>
        <w:t>Collections in GGBN Data Standard:</w:t>
      </w:r>
    </w:p>
    <w:p w:rsidR="00511A2A" w:rsidRDefault="00511A2A" w:rsidP="00511A2A">
      <w:pPr>
        <w:pStyle w:val="NoSpacing"/>
        <w:ind w:left="720"/>
        <w:rPr>
          <w:b/>
          <w:sz w:val="18"/>
          <w:szCs w:val="18"/>
        </w:rPr>
      </w:pPr>
      <w:r w:rsidRPr="00120817">
        <w:rPr>
          <w:b/>
          <w:sz w:val="18"/>
          <w:szCs w:val="18"/>
        </w:rPr>
        <w:t>GGBN Amplification Vocabulary  •  GGBN DNA Cloning Vocabulary  •  GGBN Gel Image Vocabulary  •  GGBN Loan Vocabulary  •  GGBN Material Sample Vocabulary  •  GGBN Permit Vocabulary  •  GGBN Preparation Vocabulary  •  GGBN Preservation Vocabulary  •  GGBN Single Read Vocabulary</w:t>
      </w:r>
    </w:p>
    <w:p w:rsidR="00A6514A" w:rsidRDefault="00A6514A" w:rsidP="00120817">
      <w:pPr>
        <w:pStyle w:val="NoSpacing"/>
        <w:rPr>
          <w:b/>
          <w:sz w:val="18"/>
          <w:szCs w:val="18"/>
        </w:rPr>
      </w:pPr>
    </w:p>
    <w:p w:rsidR="00A6514A" w:rsidRPr="00A6514A" w:rsidRDefault="000728AA" w:rsidP="00A6514A">
      <w:pPr>
        <w:pStyle w:val="NoSpacing"/>
        <w:ind w:right="180"/>
        <w:rPr>
          <w:sz w:val="18"/>
          <w:szCs w:val="18"/>
        </w:rPr>
      </w:pPr>
      <w:r>
        <w:rPr>
          <w:b/>
          <w:sz w:val="18"/>
          <w:szCs w:val="18"/>
        </w:rPr>
        <w:t xml:space="preserve">EXAMPLE: </w:t>
      </w:r>
      <w:r w:rsidR="00A6514A" w:rsidRPr="00120817">
        <w:rPr>
          <w:b/>
          <w:sz w:val="18"/>
          <w:szCs w:val="18"/>
        </w:rPr>
        <w:t>GGBN Material Sample Vocabulary</w:t>
      </w:r>
      <w:r w:rsidR="00A6514A">
        <w:rPr>
          <w:sz w:val="18"/>
          <w:szCs w:val="18"/>
        </w:rPr>
        <w:t xml:space="preserve"> (for use with the new Material Sample Core)</w:t>
      </w:r>
    </w:p>
    <w:p w:rsidR="00A6514A" w:rsidRPr="00A6514A" w:rsidRDefault="00A6514A" w:rsidP="00A6514A">
      <w:pPr>
        <w:pStyle w:val="NoSpacing"/>
        <w:ind w:left="720" w:right="180"/>
        <w:rPr>
          <w:sz w:val="18"/>
          <w:szCs w:val="18"/>
        </w:rPr>
      </w:pPr>
      <w:r w:rsidRPr="00A6514A">
        <w:rPr>
          <w:b/>
          <w:sz w:val="18"/>
          <w:szCs w:val="18"/>
        </w:rPr>
        <w:t xml:space="preserve">By label: </w:t>
      </w:r>
      <w:r w:rsidRPr="00A6514A">
        <w:rPr>
          <w:sz w:val="18"/>
          <w:szCs w:val="18"/>
        </w:rPr>
        <w:t>Concentration (DNA) • DNA Melting Point • DNA-DNA Hybridization • Estimated Size • High • Low • Material Sample Type • Medium • Method used for Determination of Concentration and Ratios of Absorbance (DNA) • Method used for Determination of Weight • Purification Method (DNA or Amplification) • Quality • Quality Check Date • Quality Remarks • Quality Vocabulary • Ratio of Absorbance 260/230 (DNA) • Ratio of Absorbance 260/280 (DNA) • Sieving • Unit of Concentration (DNA) • Unit of Volume • Unit of Weight • Volume • Weight • pooling of dna extracts • sample size</w:t>
      </w:r>
    </w:p>
    <w:p w:rsidR="00A6514A" w:rsidRPr="00A6514A" w:rsidRDefault="00A6514A" w:rsidP="00A6514A">
      <w:pPr>
        <w:pStyle w:val="NoSpacing"/>
        <w:ind w:left="720" w:right="180"/>
        <w:rPr>
          <w:sz w:val="18"/>
          <w:szCs w:val="18"/>
        </w:rPr>
      </w:pPr>
      <w:r w:rsidRPr="00A6514A">
        <w:rPr>
          <w:b/>
          <w:sz w:val="18"/>
          <w:szCs w:val="18"/>
        </w:rPr>
        <w:t>By concept name:</w:t>
      </w:r>
      <w:r w:rsidRPr="00A6514A">
        <w:rPr>
          <w:sz w:val="18"/>
          <w:szCs w:val="18"/>
        </w:rPr>
        <w:t xml:space="preserve"> ggbn:concentration • ggbn:concentrationUnit • ggbn:DNADNAHybridization • ggbn:DNAMeltingPoint • ggbn:materialSampleType • ggbn:methodDeterminationConcentrationAndRatios • ggbn:methodDeterminationWeight • ggbn:purificationMethod • ggbn:quality • ggbn:qualityCheckDate • ggbn:qualityRemarks • ggbn:ratioOfAbsorbance260 230 • ggbn:ratioOfAbsorbance260 280 • ggbn:volume • ggbn:volumeUnit • ggbn:weight • ggbn:weightUnit • ggbnvoc:high • ggbnvoc:low • ggbnvoc:medium • ggbnvoc:quality vocabulary • mixs:estimated size • mixs:pool dna extracts • mixs:samp size • mixs:sieving</w:t>
      </w:r>
    </w:p>
    <w:p w:rsidR="00A6514A" w:rsidRDefault="00A6514A" w:rsidP="00A6514A">
      <w:pPr>
        <w:pStyle w:val="NoSpacing"/>
        <w:ind w:left="720" w:right="180"/>
        <w:rPr>
          <w:b/>
          <w:sz w:val="18"/>
          <w:szCs w:val="18"/>
        </w:rPr>
      </w:pPr>
    </w:p>
    <w:p w:rsidR="00120817" w:rsidRDefault="00120817" w:rsidP="00A6514A">
      <w:pPr>
        <w:pStyle w:val="NoSpacing"/>
        <w:ind w:right="180"/>
        <w:rPr>
          <w:b/>
          <w:sz w:val="18"/>
          <w:szCs w:val="18"/>
        </w:rPr>
      </w:pPr>
      <w:r w:rsidRPr="00120817">
        <w:rPr>
          <w:b/>
          <w:sz w:val="18"/>
          <w:szCs w:val="18"/>
        </w:rPr>
        <w:t>Index to concepts (all collections combined)</w:t>
      </w:r>
    </w:p>
    <w:p w:rsidR="00120817" w:rsidRDefault="00120817" w:rsidP="00A6514A">
      <w:pPr>
        <w:pStyle w:val="NoSpacing"/>
        <w:ind w:left="720" w:right="180"/>
        <w:rPr>
          <w:sz w:val="18"/>
          <w:szCs w:val="18"/>
        </w:rPr>
      </w:pPr>
      <w:r w:rsidRPr="00120817">
        <w:rPr>
          <w:b/>
          <w:sz w:val="18"/>
          <w:szCs w:val="18"/>
        </w:rPr>
        <w:t>By concept name:</w:t>
      </w:r>
      <w:r w:rsidRPr="00120817">
        <w:rPr>
          <w:sz w:val="18"/>
          <w:szCs w:val="18"/>
        </w:rPr>
        <w:t xml:space="preserve"> dcterms:identifier  •  dwc:associatedReferences  •  dwc:disposition  •  ggbn:BOLDProcessID  •  ggbn:DNADNAHybridization  •  ggbn:DNAMeltingPoint  •  ggbn:DNAThreshold  •  ggbn:GC-content  •  ggbn:amplificationDate  •  ggbn:amplificationMethod  •  ggbn:amplificationStaff  •  ggbn:amplificationSuccess  •  ggbn:amplificationSuccessDetails  •  ggbn:barcodeSequence  •  ggbn:blocked  •  ggbn:blockedUntil  •  ggbn:chromatogramFileURI  •  ggbn:cloneStrain  •  ggbn:cloningDate  •  ggbn:cloningMethod  •  ggbn:cloningStaff  •  ggbn:concentration  •  ggbn:concentrationUnit  •  ggbn:consensusSequence  •  ggbn:consensusSequenceChromatogramFileURI  •  ggbn:consensusSequenceLength  •  ggbn:fragmentLength  •  ggbn:gelBuffer  •  ggbn:gelConcentration  •  ggbn:gelDuration  •  ggbn:gelLadder  •  ggbn:gelRemarks  •  ggbn:gelStain  •  ggbn:gelStainConcentration  •  ggbn:gelVoltage  •  ggbn:geneticAccessionNumber  •  ggbn:geneticAccessionURI  •  ggbn:haplotype  •  ggbn:loanConditions  •  ggbn:loanDate  •  ggbn:loanDestination  •  ggbn:loanIdentifier  •  ggbn:marker  •  ggbn:markerAccordance  •  ggbn:markerSubfragment  •  ggbn:materialSampleType  •  ggbn:methodDeterminationConcentrationAndRatios  •  ggbn:methodDeterminationWeight  •  ggbn:percentAboveThreshold  •  ggbn:permitStatus  •  ggbn:permitStatusQualifier  •  ggbn:permitText  •  ggbn:permitType  •  ggbn:permitURI  •  ggbn:plasmid  •  ggbn:preparationDate  •  ggbn:preparationMaterials  •  ggbn:preparationProcess  •  ggbn:preparationType  •  ggbn:preparedBy  •  ggbn:preservationDateBegin  •  ggbn:preservationTemperature  •  ggbn:preservationType  •  ggbn:primerName  •  ggbn:primerNameForward  •  ggbn:primerNameReverse  •  ggbn:primerReferenceCitation  •  ggbn:primerReferenceCitationForward  •  ggbn:primerReferenceCitationReverse  •  ggbn:primerReferenceLink  •  ggbn:primerReferenceLinkForward  •  ggbn:primerReferenceLinkReverse  •  ggbn:primerSequence  •  ggbn:primerSequenceForward  •  ggbn:primerSequenceReverse  •  ggbn:purificationMethod  •  ggbn:quality  •  ggbn:qualityCheckDate  •  ggbn:qualityRemarks  •  ggbn:ratioOfAbsorbance260 230  •  ggbn:ratioOfAbsorbance260 280  •  ggbn:receivedFrom  •  ggbn:sequence  •  ggbn:sequencingDate  •  ggbn:sequencingDirection  •  ggbn:sequencingMethod  •  ggbn:sequencingStaff  •  ggbn:singleSequence  •  ggbn:singleSequenceLength  •  ggbn:stainingMethod  •  ggbn:volume  •  ggbn:volumeUnit  •  ggbn:weight  •  ggbn:weightUnit  •  ggbnvoc:Collecting Permit  •  ggbnvoc:Contract  •  ggbnvoc:Copyright  •  ggbnvoc:Data use  •  ggbnvoc:Exemption Permit  •  ggbnvoc:Export Permit  •  ggbnvoc:Genetically Modified Organism  •  ggbnvoc:Human Pathogens  •  ggbnvoc:Import Permit  •  ggbnvoc:Intellectual Property Rights  •  ggbnvoc:Internationally Recognized Certificate of Compliance  •  ggbnvoc:Material Transfer Agreement  •  ggbnvoc:Memorandum of Cooperation  •  ggbnvoc:Memorandum of Understanding  •  ggbnvoc:Other  •  ggbnvoc:Patent  •  ggbnvoc:Permit available  •  ggbnvoc:Permit not available  •  ggbnvoc:Permit not required  •  ggbnvoc:Phytosanitary  •  ggbnvoc:Salvage  •  ggbnvoc:Unknown  •  ggbnvoc:Veterinary Certificate  •  ggbnvoc:high  •  ggbnvoc:low  •  ggbnvoc:medium  •  ggbnvoc:permitStatus vocabulary  •  ggbnvoc:permitType vocabulary  •  ggbnvoc:quality vocabulary  •  mixs:adapters  •  mixs:annot source  •  mixs:assembly  •  mixs:chimera check  •  mixs:estimated size  •  mixs:finishing strategy  •  mixs:lib const meth  •  mixs:lib reads seqd  •  mixs:lib screen  •  mixs:lib size  •  mixs:lib vector  •  mixs:mid  •  mixs:pool dna extracts  •  mixs:samp size  •  mixs:seq quality check  •  mixs:sieving  •  mixs:sop</w:t>
      </w:r>
    </w:p>
    <w:p w:rsidR="007A3602" w:rsidRDefault="007A3602">
      <w:pPr>
        <w:rPr>
          <w:b/>
          <w:sz w:val="18"/>
          <w:szCs w:val="18"/>
        </w:rPr>
      </w:pPr>
    </w:p>
    <w:p w:rsidR="007A3602" w:rsidRDefault="007A3602">
      <w:pPr>
        <w:rPr>
          <w:b/>
          <w:sz w:val="18"/>
          <w:szCs w:val="18"/>
        </w:rPr>
      </w:pPr>
      <w:r>
        <w:rPr>
          <w:b/>
          <w:sz w:val="18"/>
          <w:szCs w:val="18"/>
        </w:rPr>
        <w:t xml:space="preserve">See </w:t>
      </w:r>
      <w:hyperlink r:id="rId12" w:history="1">
        <w:r w:rsidRPr="00E375E6">
          <w:rPr>
            <w:rStyle w:val="Hyperlink"/>
            <w:b/>
            <w:sz w:val="18"/>
            <w:szCs w:val="18"/>
          </w:rPr>
          <w:t>http://wiki.bgbm.org/dnabankwiki/index.php/DwC</w:t>
        </w:r>
      </w:hyperlink>
      <w:r>
        <w:rPr>
          <w:b/>
          <w:sz w:val="18"/>
          <w:szCs w:val="18"/>
        </w:rPr>
        <w:t xml:space="preserve"> for source of graphic.</w:t>
      </w:r>
    </w:p>
    <w:p w:rsidR="000728AA" w:rsidRDefault="000728AA">
      <w:pPr>
        <w:rPr>
          <w:b/>
          <w:sz w:val="18"/>
          <w:szCs w:val="18"/>
        </w:rPr>
      </w:pPr>
      <w:r>
        <w:rPr>
          <w:b/>
          <w:sz w:val="18"/>
          <w:szCs w:val="18"/>
        </w:rPr>
        <w:t>NOTE: the format of the Material Sample Core file content is not described here. This standard is new and just beginning to be used in the collections community.</w:t>
      </w:r>
    </w:p>
    <w:p w:rsidR="00BE0B3C" w:rsidRPr="00BE0B3C" w:rsidRDefault="00BE0B3C" w:rsidP="0048195B">
      <w:pPr>
        <w:rPr>
          <w:rFonts w:ascii="Times New Roman" w:eastAsia="Times New Roman" w:hAnsi="Times New Roman" w:cs="Times New Roman"/>
          <w:b/>
          <w:sz w:val="24"/>
          <w:szCs w:val="20"/>
          <w:u w:val="single"/>
        </w:rPr>
      </w:pPr>
      <w:r>
        <w:rPr>
          <w:b/>
          <w:sz w:val="18"/>
          <w:szCs w:val="18"/>
        </w:rPr>
        <w:br w:type="page"/>
      </w:r>
      <w:r w:rsidRPr="00BE0B3C">
        <w:rPr>
          <w:rFonts w:ascii="Times New Roman" w:eastAsia="Times New Roman" w:hAnsi="Times New Roman" w:cs="Times New Roman"/>
          <w:b/>
          <w:sz w:val="24"/>
          <w:szCs w:val="20"/>
          <w:u w:val="single"/>
        </w:rPr>
        <w:lastRenderedPageBreak/>
        <w:t>MVZ Guide for Recording Localities in Field Notes</w:t>
      </w:r>
      <w:r w:rsidR="00644A4C">
        <w:rPr>
          <w:rFonts w:ascii="Times New Roman" w:eastAsia="Times New Roman" w:hAnsi="Times New Roman" w:cs="Times New Roman"/>
          <w:b/>
          <w:sz w:val="24"/>
          <w:szCs w:val="20"/>
          <w:u w:val="single"/>
        </w:rPr>
        <w:t xml:space="preserve"> </w:t>
      </w:r>
    </w:p>
    <w:p w:rsidR="00BE0B3C" w:rsidRPr="00BE0B3C" w:rsidRDefault="00644A4C" w:rsidP="00644A4C">
      <w:pPr>
        <w:keepNext/>
        <w:keepLines/>
        <w:spacing w:after="0" w:line="240" w:lineRule="auto"/>
        <w:ind w:right="45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Think about where all this data goes, relative to the above locality fields in Darwin Core.</w:t>
      </w:r>
    </w:p>
    <w:p w:rsidR="00644A4C" w:rsidRDefault="00644A4C" w:rsidP="00644A4C">
      <w:pPr>
        <w:keepNext/>
        <w:keepLines/>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sz w:val="20"/>
          <w:szCs w:val="20"/>
        </w:rPr>
        <w:t xml:space="preserve">Complete locality data, including the information outlined below, should accompany all collected material and observations. </w:t>
      </w:r>
    </w:p>
    <w:p w:rsidR="00BE0B3C" w:rsidRPr="00BE0B3C" w:rsidRDefault="00BE0B3C" w:rsidP="00644A4C">
      <w:pPr>
        <w:keepNext/>
        <w:keepLines/>
        <w:spacing w:after="0" w:line="240" w:lineRule="auto"/>
        <w:ind w:right="450"/>
        <w:jc w:val="both"/>
        <w:rPr>
          <w:rFonts w:ascii="Times New Roman" w:eastAsia="Times New Roman" w:hAnsi="Times New Roman" w:cs="Times New Roman"/>
          <w:b/>
          <w:sz w:val="20"/>
          <w:szCs w:val="20"/>
        </w:rPr>
      </w:pP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Locality</w:t>
      </w:r>
      <w:r w:rsidRPr="00BE0B3C">
        <w:rPr>
          <w:rFonts w:ascii="Times New Roman" w:eastAsia="Times New Roman" w:hAnsi="Times New Roman" w:cs="Times New Roman"/>
          <w:sz w:val="20"/>
          <w:szCs w:val="20"/>
        </w:rPr>
        <w:t>: Provide a descriptive locality, even if you have geographic coordinates. Write the description from specific to general, including a specific locality, offset(s) from a reference point, and administrative units such as county, state, and country. The locality should be as specific, succinct, unambiguous, complete, and accurate as possible, leaving no room for</w:t>
      </w:r>
      <w:r w:rsidR="00A6514A" w:rsidRPr="00644A4C">
        <w:rPr>
          <w:rFonts w:ascii="Times New Roman" w:eastAsia="Times New Roman" w:hAnsi="Times New Roman" w:cs="Times New Roman"/>
          <w:sz w:val="20"/>
          <w:szCs w:val="20"/>
        </w:rPr>
        <w:t xml:space="preserve"> uncertainty in interpretation.</w:t>
      </w:r>
      <w:r w:rsidR="00644A4C">
        <w:rPr>
          <w:rFonts w:ascii="Times New Roman" w:eastAsia="Times New Roman" w:hAnsi="Times New Roman" w:cs="Times New Roman"/>
          <w:sz w:val="20"/>
          <w:szCs w:val="20"/>
        </w:rPr>
        <w:t xml:space="preserve">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The most specific localities are those described by a) a distance and heading along a path from a nearby and well-defined intersection, or b) two cardinal offset distances from a single nearby feature of small extent.</w:t>
      </w: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Elevation</w:t>
      </w:r>
      <w:r w:rsidRPr="00BE0B3C">
        <w:rPr>
          <w:rFonts w:ascii="Times New Roman" w:eastAsia="Times New Roman" w:hAnsi="Times New Roman" w:cs="Times New Roman"/>
          <w:sz w:val="20"/>
          <w:szCs w:val="20"/>
        </w:rPr>
        <w:t>: Supplement the locality descript</w:t>
      </w:r>
      <w:r w:rsidR="00A6514A" w:rsidRPr="00644A4C">
        <w:rPr>
          <w:rFonts w:ascii="Times New Roman" w:eastAsia="Times New Roman" w:hAnsi="Times New Roman" w:cs="Times New Roman"/>
          <w:sz w:val="20"/>
          <w:szCs w:val="20"/>
        </w:rPr>
        <w:t>ion with elevation information.</w:t>
      </w:r>
      <w:r w:rsidR="00644A4C">
        <w:rPr>
          <w:rFonts w:ascii="Times New Roman" w:eastAsia="Times New Roman" w:hAnsi="Times New Roman" w:cs="Times New Roman"/>
          <w:sz w:val="20"/>
          <w:szCs w:val="20"/>
        </w:rPr>
        <w:t xml:space="preserve">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A barometric altimeter, when properly calibrated, is much more reliable than a GPS for obtaining accurate elevations.</w:t>
      </w: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Coordinates</w:t>
      </w:r>
      <w:r w:rsidRPr="00BE0B3C">
        <w:rPr>
          <w:rFonts w:ascii="Times New Roman" w:eastAsia="Times New Roman" w:hAnsi="Times New Roman" w:cs="Times New Roman"/>
          <w:sz w:val="20"/>
          <w:szCs w:val="20"/>
        </w:rPr>
        <w:t>: Whenever practical, provide the coordinates of the location where collecting actually occurred (see Extent, below). If reading coordinates from a map, use the same coordinate system as the map</w:t>
      </w:r>
      <w:r w:rsidR="00644A4C">
        <w:rPr>
          <w:rFonts w:ascii="Times New Roman" w:eastAsia="Times New Roman" w:hAnsi="Times New Roman" w:cs="Times New Roman"/>
          <w:sz w:val="20"/>
          <w:szCs w:val="20"/>
        </w:rPr>
        <w:t xml:space="preserve">.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The decimal degrees coordinate system is preferred when reading coordinates from a GPS.</w:t>
      </w:r>
    </w:p>
    <w:p w:rsidR="00BE0B3C" w:rsidRPr="00BE0B3C" w:rsidRDefault="00BE0B3C" w:rsidP="00644A4C">
      <w:pPr>
        <w:keepNext/>
        <w:keepLines/>
        <w:spacing w:after="0" w:line="240" w:lineRule="auto"/>
        <w:ind w:right="450"/>
        <w:jc w:val="both"/>
        <w:rPr>
          <w:rFonts w:ascii="Times New Roman" w:eastAsia="Times New Roman" w:hAnsi="Times New Roman" w:cs="Times New Roman"/>
          <w:b/>
          <w:sz w:val="20"/>
          <w:szCs w:val="20"/>
        </w:rPr>
      </w:pPr>
      <w:r w:rsidRPr="00BE0B3C">
        <w:rPr>
          <w:rFonts w:ascii="Times New Roman" w:eastAsia="Times New Roman" w:hAnsi="Times New Roman" w:cs="Times New Roman"/>
          <w:b/>
          <w:sz w:val="20"/>
          <w:szCs w:val="20"/>
        </w:rPr>
        <w:tab/>
      </w:r>
    </w:p>
    <w:p w:rsidR="00BE0B3C" w:rsidRPr="00BE0B3C" w:rsidRDefault="00BE0B3C" w:rsidP="00644A4C">
      <w:pPr>
        <w:keepNext/>
        <w:keepLines/>
        <w:spacing w:after="0" w:line="240" w:lineRule="auto"/>
        <w:ind w:right="450"/>
        <w:jc w:val="both"/>
        <w:rPr>
          <w:rFonts w:ascii="Times New Roman" w:eastAsia="Times New Roman" w:hAnsi="Times New Roman" w:cs="Times New Roman"/>
          <w:b/>
          <w:sz w:val="20"/>
          <w:szCs w:val="20"/>
        </w:rPr>
      </w:pPr>
      <w:r w:rsidRPr="00BE0B3C">
        <w:rPr>
          <w:rFonts w:ascii="Times New Roman" w:eastAsia="Times New Roman" w:hAnsi="Times New Roman" w:cs="Times New Roman"/>
          <w:b/>
          <w:sz w:val="20"/>
          <w:szCs w:val="20"/>
        </w:rPr>
        <w:t>Datum</w:t>
      </w:r>
      <w:r w:rsidRPr="00BE0B3C">
        <w:rPr>
          <w:rFonts w:ascii="Times New Roman" w:eastAsia="Times New Roman" w:hAnsi="Times New Roman" w:cs="Times New Roman"/>
          <w:sz w:val="20"/>
          <w:szCs w:val="20"/>
        </w:rPr>
        <w:t xml:space="preserve">: The datum is an essential part of a coordinate description; it provides the frame of reference. When using both maps and GPS in the field, set the GPS datum to be the same as the map datum so that your GPS coordinates will match those on the map.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Always record the datum with the coordinates.</w:t>
      </w:r>
    </w:p>
    <w:p w:rsidR="00BE0B3C" w:rsidRPr="00BE0B3C" w:rsidRDefault="00BE0B3C" w:rsidP="00644A4C">
      <w:pPr>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GPS Accuracy</w:t>
      </w:r>
      <w:r w:rsidRPr="00BE0B3C">
        <w:rPr>
          <w:rFonts w:ascii="Times New Roman" w:eastAsia="Times New Roman" w:hAnsi="Times New Roman" w:cs="Times New Roman"/>
          <w:sz w:val="20"/>
          <w:szCs w:val="20"/>
        </w:rPr>
        <w:t xml:space="preserve">: Record the accuracy as reported by the GPS </w:t>
      </w:r>
      <w:r w:rsidR="00644A4C">
        <w:rPr>
          <w:rFonts w:ascii="Times New Roman" w:eastAsia="Times New Roman" w:hAnsi="Times New Roman" w:cs="Times New Roman"/>
          <w:sz w:val="20"/>
          <w:szCs w:val="20"/>
        </w:rPr>
        <w:t xml:space="preserve">whenever you take coordinates.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Most GPS devices do not record accuracy with the waypoint data, but provide it in the interface showing current satellite conditions.</w:t>
      </w:r>
    </w:p>
    <w:p w:rsidR="00644A4C" w:rsidRDefault="00644A4C" w:rsidP="00644A4C">
      <w:pPr>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Extent</w:t>
      </w:r>
      <w:r w:rsidRPr="00BE0B3C">
        <w:rPr>
          <w:rFonts w:ascii="Times New Roman" w:eastAsia="Times New Roman" w:hAnsi="Times New Roman" w:cs="Times New Roman"/>
          <w:sz w:val="20"/>
          <w:szCs w:val="20"/>
        </w:rPr>
        <w:t>: The extent is a measure of the size of the area within which collecting or observations occurred for a given locality – the distance from the point described by the locality and coordinates to the furthest point where collecting or observati</w:t>
      </w:r>
      <w:r w:rsidR="00644A4C">
        <w:rPr>
          <w:rFonts w:ascii="Times New Roman" w:eastAsia="Times New Roman" w:hAnsi="Times New Roman" w:cs="Times New Roman"/>
          <w:sz w:val="20"/>
          <w:szCs w:val="20"/>
        </w:rPr>
        <w:t xml:space="preserve">ons occurred in that locality. </w:t>
      </w:r>
      <w:r w:rsidRPr="00BE0B3C">
        <w:rPr>
          <w:rFonts w:ascii="Times New Roman" w:eastAsia="Times New Roman" w:hAnsi="Times New Roman" w:cs="Times New Roman"/>
          <w:b/>
          <w:sz w:val="20"/>
          <w:szCs w:val="20"/>
        </w:rPr>
        <w:t>Hint</w:t>
      </w:r>
      <w:r w:rsidRPr="00BE0B3C">
        <w:rPr>
          <w:rFonts w:ascii="Times New Roman" w:eastAsia="Times New Roman" w:hAnsi="Times New Roman" w:cs="Times New Roman"/>
          <w:sz w:val="20"/>
          <w:szCs w:val="20"/>
        </w:rPr>
        <w:t xml:space="preserve">: A 1 km linear trap line for which the coordinates refer to the center has an extent of 0.5 km. </w:t>
      </w:r>
    </w:p>
    <w:p w:rsidR="00BE0B3C" w:rsidRPr="00BE0B3C" w:rsidRDefault="00BE0B3C" w:rsidP="00644A4C">
      <w:pPr>
        <w:spacing w:after="0" w:line="240" w:lineRule="auto"/>
        <w:ind w:right="450"/>
        <w:jc w:val="both"/>
        <w:rPr>
          <w:rFonts w:ascii="Times New Roman" w:eastAsia="Times New Roman" w:hAnsi="Times New Roman" w:cs="Times New Roman"/>
          <w:sz w:val="20"/>
          <w:szCs w:val="20"/>
        </w:rPr>
      </w:pPr>
    </w:p>
    <w:p w:rsidR="00BE0B3C" w:rsidRPr="00BE0B3C" w:rsidRDefault="00BE0B3C" w:rsidP="00644A4C">
      <w:pPr>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References</w:t>
      </w:r>
      <w:r w:rsidRPr="00BE0B3C">
        <w:rPr>
          <w:rFonts w:ascii="Times New Roman" w:eastAsia="Times New Roman" w:hAnsi="Times New Roman" w:cs="Times New Roman"/>
          <w:sz w:val="20"/>
          <w:szCs w:val="20"/>
        </w:rPr>
        <w:t>: Record the sources of all measurements. Minimally, include map name, GPS model, and the source for elevation data.</w:t>
      </w:r>
    </w:p>
    <w:p w:rsidR="00BE0B3C" w:rsidRPr="00BE0B3C" w:rsidRDefault="00BE0B3C" w:rsidP="00644A4C">
      <w:pPr>
        <w:keepNext/>
        <w:keepLines/>
        <w:spacing w:after="0" w:line="240" w:lineRule="auto"/>
        <w:ind w:right="450"/>
        <w:jc w:val="both"/>
        <w:rPr>
          <w:rFonts w:ascii="Times New Roman" w:eastAsia="Times New Roman" w:hAnsi="Times New Roman" w:cs="Times New Roman"/>
          <w:b/>
          <w:sz w:val="20"/>
          <w:szCs w:val="20"/>
        </w:rPr>
      </w:pP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Example</w:t>
      </w:r>
      <w:r w:rsidRPr="00BE0B3C">
        <w:rPr>
          <w:rFonts w:ascii="Times New Roman" w:eastAsia="Times New Roman" w:hAnsi="Times New Roman" w:cs="Times New Roman"/>
          <w:sz w:val="20"/>
          <w:szCs w:val="20"/>
        </w:rPr>
        <w:t xml:space="preserve">: </w:t>
      </w: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sz w:val="20"/>
          <w:szCs w:val="20"/>
        </w:rPr>
        <w:t xml:space="preserve">Modoc National Wildlife Refuge, 2.8 mi S and 1.2 mi E junction of Hwy. 299 and Hwy. 395 in Alturas, Modoc Co., Calif. </w:t>
      </w: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Lat/Long/Datum</w:t>
      </w:r>
      <w:r w:rsidRPr="00BE0B3C">
        <w:rPr>
          <w:rFonts w:ascii="Times New Roman" w:eastAsia="Times New Roman" w:hAnsi="Times New Roman" w:cs="Times New Roman"/>
          <w:sz w:val="20"/>
          <w:szCs w:val="20"/>
        </w:rPr>
        <w:t>: 41.45063 N, 120.50763 W (WGS84 )</w:t>
      </w:r>
    </w:p>
    <w:p w:rsidR="00BE0B3C" w:rsidRPr="00BE0B3C" w:rsidRDefault="00BE0B3C" w:rsidP="00644A4C">
      <w:pPr>
        <w:keepNext/>
        <w:keepLines/>
        <w:tabs>
          <w:tab w:val="center" w:pos="4950"/>
          <w:tab w:val="right" w:pos="8280"/>
        </w:tab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Elevation</w:t>
      </w:r>
      <w:r w:rsidRPr="00BE0B3C">
        <w:rPr>
          <w:rFonts w:ascii="Times New Roman" w:eastAsia="Times New Roman" w:hAnsi="Times New Roman" w:cs="Times New Roman"/>
          <w:sz w:val="20"/>
          <w:szCs w:val="20"/>
        </w:rPr>
        <w:t xml:space="preserve">: 1330 ft </w:t>
      </w:r>
      <w:r w:rsidRPr="00BE0B3C">
        <w:rPr>
          <w:rFonts w:ascii="Times New Roman" w:eastAsia="Times New Roman" w:hAnsi="Times New Roman" w:cs="Times New Roman"/>
          <w:sz w:val="20"/>
          <w:szCs w:val="20"/>
        </w:rPr>
        <w:tab/>
      </w:r>
      <w:r w:rsidRPr="00BE0B3C">
        <w:rPr>
          <w:rFonts w:ascii="Times New Roman" w:eastAsia="Times New Roman" w:hAnsi="Times New Roman" w:cs="Times New Roman"/>
          <w:b/>
          <w:sz w:val="20"/>
          <w:szCs w:val="20"/>
        </w:rPr>
        <w:t>GPS Accuracy</w:t>
      </w:r>
      <w:r w:rsidRPr="00BE0B3C">
        <w:rPr>
          <w:rFonts w:ascii="Times New Roman" w:eastAsia="Times New Roman" w:hAnsi="Times New Roman" w:cs="Times New Roman"/>
          <w:sz w:val="20"/>
          <w:szCs w:val="20"/>
        </w:rPr>
        <w:t xml:space="preserve">:24 ft </w:t>
      </w:r>
      <w:r w:rsidRPr="00BE0B3C">
        <w:rPr>
          <w:rFonts w:ascii="Times New Roman" w:eastAsia="Times New Roman" w:hAnsi="Times New Roman" w:cs="Times New Roman"/>
          <w:sz w:val="20"/>
          <w:szCs w:val="20"/>
        </w:rPr>
        <w:tab/>
      </w:r>
      <w:r w:rsidRPr="00BE0B3C">
        <w:rPr>
          <w:rFonts w:ascii="Times New Roman" w:eastAsia="Times New Roman" w:hAnsi="Times New Roman" w:cs="Times New Roman"/>
          <w:b/>
          <w:sz w:val="20"/>
          <w:szCs w:val="20"/>
        </w:rPr>
        <w:t>Extent</w:t>
      </w:r>
      <w:r w:rsidRPr="00BE0B3C">
        <w:rPr>
          <w:rFonts w:ascii="Times New Roman" w:eastAsia="Times New Roman" w:hAnsi="Times New Roman" w:cs="Times New Roman"/>
          <w:sz w:val="20"/>
          <w:szCs w:val="20"/>
        </w:rPr>
        <w:t>: 150 ft</w:t>
      </w:r>
    </w:p>
    <w:p w:rsidR="00BE0B3C" w:rsidRPr="00BE0B3C" w:rsidRDefault="00BE0B3C" w:rsidP="00644A4C">
      <w:pPr>
        <w:keepNext/>
        <w:keepLines/>
        <w:spacing w:after="0" w:line="240" w:lineRule="auto"/>
        <w:ind w:right="450"/>
        <w:jc w:val="both"/>
        <w:rPr>
          <w:rFonts w:ascii="Times New Roman" w:eastAsia="Times New Roman" w:hAnsi="Times New Roman" w:cs="Times New Roman"/>
          <w:sz w:val="20"/>
          <w:szCs w:val="20"/>
        </w:rPr>
      </w:pPr>
      <w:r w:rsidRPr="00BE0B3C">
        <w:rPr>
          <w:rFonts w:ascii="Times New Roman" w:eastAsia="Times New Roman" w:hAnsi="Times New Roman" w:cs="Times New Roman"/>
          <w:b/>
          <w:sz w:val="20"/>
          <w:szCs w:val="20"/>
        </w:rPr>
        <w:t>References</w:t>
      </w:r>
      <w:r w:rsidRPr="00BE0B3C">
        <w:rPr>
          <w:rFonts w:ascii="Times New Roman" w:eastAsia="Times New Roman" w:hAnsi="Times New Roman" w:cs="Times New Roman"/>
          <w:sz w:val="20"/>
          <w:szCs w:val="20"/>
        </w:rPr>
        <w:t>: Garmin Etrex Summit GPS for coordinates and accuracy, barometric altimeter for elevation.</w:t>
      </w:r>
    </w:p>
    <w:p w:rsidR="00BE0B3C" w:rsidRPr="00BE0B3C" w:rsidRDefault="00644A4C" w:rsidP="00644A4C">
      <w:pPr>
        <w:spacing w:after="0" w:line="240" w:lineRule="auto"/>
        <w:ind w:right="7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-9526</wp:posOffset>
                </wp:positionH>
                <wp:positionV relativeFrom="paragraph">
                  <wp:posOffset>91440</wp:posOffset>
                </wp:positionV>
                <wp:extent cx="6848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9D3C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2pt" to="53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" strokecolor="#5b9bd5 [3204]" strokeweight=".5pt">
                <v:stroke joinstyle="miter"/>
              </v:line>
            </w:pict>
          </mc:Fallback>
        </mc:AlternateContent>
      </w:r>
    </w:p>
    <w:p w:rsidR="00A6514A" w:rsidRDefault="00A6514A" w:rsidP="00644A4C">
      <w:pPr>
        <w:spacing w:after="0" w:line="240" w:lineRule="auto"/>
        <w:ind w:right="720"/>
        <w:rPr>
          <w:rFonts w:ascii="Verdana" w:eastAsia="Times New Roman" w:hAnsi="Verdana" w:cs="Times New Roman"/>
          <w:b/>
          <w:color w:val="000000"/>
          <w:sz w:val="20"/>
          <w:szCs w:val="20"/>
        </w:rPr>
      </w:pPr>
    </w:p>
    <w:p w:rsidR="00BE0B3C" w:rsidRPr="00BE0B3C" w:rsidRDefault="00BE0B3C" w:rsidP="00644A4C">
      <w:pPr>
        <w:spacing w:after="0" w:line="240" w:lineRule="auto"/>
        <w:ind w:right="720"/>
        <w:rPr>
          <w:rFonts w:ascii="Verdana" w:eastAsia="Times New Roman" w:hAnsi="Verdana" w:cs="Times New Roman"/>
          <w:b/>
          <w:color w:val="000000"/>
          <w:sz w:val="20"/>
          <w:szCs w:val="20"/>
        </w:rPr>
      </w:pPr>
      <w:r w:rsidRPr="00BE0B3C">
        <w:rPr>
          <w:rFonts w:ascii="Verdana" w:eastAsia="Times New Roman" w:hAnsi="Verdana" w:cs="Times New Roman"/>
          <w:b/>
          <w:color w:val="000000"/>
          <w:sz w:val="20"/>
          <w:szCs w:val="20"/>
        </w:rPr>
        <w:t>Reasons Why It’s Important to Take Good Locality Data:</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keepNext/>
        <w:spacing w:after="0" w:line="240" w:lineRule="auto"/>
        <w:ind w:right="720"/>
        <w:outlineLvl w:val="1"/>
        <w:rPr>
          <w:rFonts w:ascii="Verdana" w:eastAsia="Times New Roman" w:hAnsi="Verdana" w:cs="Times New Roman"/>
          <w:b/>
          <w:color w:val="000000"/>
          <w:sz w:val="20"/>
          <w:szCs w:val="20"/>
        </w:rPr>
      </w:pPr>
      <w:r w:rsidRPr="00BE0B3C">
        <w:rPr>
          <w:rFonts w:ascii="Verdana" w:eastAsia="Times New Roman" w:hAnsi="Verdana" w:cs="Times New Roman"/>
          <w:b/>
          <w:color w:val="000000"/>
          <w:sz w:val="20"/>
          <w:szCs w:val="20"/>
        </w:rPr>
        <w:t>Data Quality</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color w:val="000000"/>
          <w:sz w:val="20"/>
          <w:szCs w:val="20"/>
        </w:rPr>
        <w:t>“Data are of high quality if they are fit for their intended use” (Juran 1964). As a collector, you may have an intended use for the data you collect. In the museum, the data you collect have the potential to be used in unforeseen ways; therefore, the value of your data is directly related to the fitness of those data for variety of uses. Higher quality locality data can be achieved by following the guidelines given in the “MVZ Guide for Recording Localities in Field Notes”, the justifications for which are elaborated below.</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Locality:</w:t>
      </w:r>
      <w:r w:rsidRPr="00BE0B3C">
        <w:rPr>
          <w:rFonts w:ascii="Verdana" w:eastAsia="Times New Roman" w:hAnsi="Verdana" w:cs="Times New Roman"/>
          <w:color w:val="000000"/>
          <w:sz w:val="20"/>
          <w:szCs w:val="20"/>
        </w:rPr>
        <w:t xml:space="preserve"> One purpose behind a specific locality description is to allow the validation of coordinates, in which errors are otherwise difficult to detect. The extent to which validation can occur depends on how well the locality description and its spatial counterpart describe the same place. The highest quality locality description is one with as few sources of uncertainty as possible. By describing a place in terms of a distance along a path, or by two orthogonal distances from a place, one removes uncertainty due to imprecise headings. By choosing a reference point of small extent, one reduces the uncertainty due to the size of the reference point. By choosing a nearby reference point, one reduces the potential for error in the offset distances. To make it easy to validate a locality, try to use reference points that are easy to find on maps or in gazetteers. At all costs, avoid using vague terms such as “near” and “center of”. In any locality that contains a named place that can be confused with another named place of a different type, specify the feature type in parentheses following the feature name.</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color w:val="000000"/>
          <w:sz w:val="20"/>
          <w:szCs w:val="20"/>
        </w:rPr>
        <w:t>Locality example using distance and heading along a path:</w:t>
      </w: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color w:val="000000"/>
          <w:sz w:val="20"/>
          <w:szCs w:val="20"/>
        </w:rPr>
        <w:t>E shore Bolinas Lagoon, 3.1 mi NW (via Hwy. 1) intersection of Hwy. 1 and Calle del Arroyo in Stinson Beach (town), Marin Co., Calif.</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color w:val="000000"/>
          <w:sz w:val="20"/>
          <w:szCs w:val="20"/>
        </w:rPr>
        <w:t>Locality example using two cardinal offset distances from a reference point:</w:t>
      </w: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color w:val="000000"/>
          <w:sz w:val="20"/>
          <w:szCs w:val="20"/>
        </w:rPr>
        <w:t>ice field below Cerro El Plomo, 0.5 km S and 0.2 km W of summit, Region Metropolitana, Chile</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Elevation:</w:t>
      </w:r>
      <w:r w:rsidRPr="00BE0B3C">
        <w:rPr>
          <w:rFonts w:ascii="Verdana" w:eastAsia="Times New Roman" w:hAnsi="Verdana" w:cs="Times New Roman"/>
          <w:color w:val="000000"/>
          <w:sz w:val="20"/>
          <w:szCs w:val="20"/>
        </w:rPr>
        <w:t xml:space="preserve"> Under normal conditions, GPS devices are much less accurate for elevation than for horizontal distances, and they do not report the altitudinal accuracy. If elevation is a defining part of the locality description, be sure to use a reliable source for this measurement (barometric altimeter, or a trustworthy map), and specify the source under references.</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Coordinates:</w:t>
      </w:r>
      <w:r w:rsidRPr="00BE0B3C">
        <w:rPr>
          <w:rFonts w:ascii="Verdana" w:eastAsia="Times New Roman" w:hAnsi="Verdana" w:cs="Times New Roman"/>
          <w:color w:val="000000"/>
          <w:sz w:val="20"/>
          <w:szCs w:val="20"/>
        </w:rPr>
        <w:t xml:space="preserve"> Coordinates are a convenient way to define a locality that is not only more specific than is otherwise possible with a description, but that is also readily usable in GIS applications. Always include as many decimals of precision as given by the coordinate source. A measurement in decimal degrees given to five decimal places is more precise than a measurement in degrees minutes seconds, and more precise than a measurement in degrees decimal minutes given to three decimal places. Set your GPS to report locations in decimal degrees rather than make a conversion from another coordinate system.</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Datum:</w:t>
      </w:r>
      <w:r w:rsidRPr="00BE0B3C">
        <w:rPr>
          <w:rFonts w:ascii="Verdana" w:eastAsia="Times New Roman" w:hAnsi="Verdana" w:cs="Times New Roman"/>
          <w:color w:val="000000"/>
          <w:sz w:val="20"/>
          <w:szCs w:val="20"/>
        </w:rPr>
        <w:t xml:space="preserve"> Except under special circumstances (the poles, for example), coordinates without a datum do not uniquely specify a location. Confusion about the datum can result in positional errors of hundreds of meters. If you are not basing your locality description on a map, set your GPS to report coordinates using the WGS84 datum.</w:t>
      </w:r>
    </w:p>
    <w:p w:rsidR="00BE0B3C" w:rsidRPr="00BE0B3C" w:rsidRDefault="00BE0B3C" w:rsidP="00644A4C">
      <w:pPr>
        <w:spacing w:after="0" w:line="240" w:lineRule="auto"/>
        <w:ind w:right="720"/>
        <w:rPr>
          <w:rFonts w:ascii="Verdana" w:eastAsia="Times New Roman" w:hAnsi="Verdana" w:cs="Times New Roman"/>
          <w:b/>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GPS accuracy:</w:t>
      </w:r>
      <w:r w:rsidRPr="00BE0B3C">
        <w:rPr>
          <w:rFonts w:ascii="Verdana" w:eastAsia="Times New Roman" w:hAnsi="Verdana" w:cs="Times New Roman"/>
          <w:color w:val="000000"/>
          <w:sz w:val="20"/>
          <w:szCs w:val="20"/>
        </w:rPr>
        <w:t xml:space="preserve"> Most GPS devices are able to report a theoretical horizontal accuracy based on local conditions at the time of reading. For highly specific localities, it may be possible for the potential error in the GPS reading to be on the same order of magnitude as the extent of the locality. In these cases, the GPS accuracy can make a non-trivial contribution to the overall uncertainty in the position given by the coordinates. By habitually recording the GPS accuracy, you will not have to worry about whether this is the case, and your data will be of the highest possible quality.</w:t>
      </w:r>
    </w:p>
    <w:p w:rsidR="00BE0B3C" w:rsidRPr="00BE0B3C" w:rsidRDefault="00BE0B3C" w:rsidP="00644A4C">
      <w:pPr>
        <w:spacing w:after="0" w:line="240" w:lineRule="auto"/>
        <w:ind w:right="720"/>
        <w:rPr>
          <w:rFonts w:ascii="Verdana" w:eastAsia="Times New Roman" w:hAnsi="Verdana" w:cs="Times New Roman"/>
          <w:color w:val="000000"/>
          <w:sz w:val="20"/>
          <w:szCs w:val="20"/>
        </w:rPr>
      </w:pPr>
    </w:p>
    <w:p w:rsidR="00BE0B3C" w:rsidRPr="00BE0B3C" w:rsidRDefault="00BE0B3C" w:rsidP="00644A4C">
      <w:pPr>
        <w:spacing w:after="0" w:line="240" w:lineRule="auto"/>
        <w:ind w:right="720"/>
        <w:rPr>
          <w:rFonts w:ascii="Verdana" w:eastAsia="Times New Roman" w:hAnsi="Verdana" w:cs="Times New Roman"/>
          <w:color w:val="000000"/>
          <w:sz w:val="20"/>
          <w:szCs w:val="20"/>
        </w:rPr>
      </w:pPr>
      <w:r w:rsidRPr="00BE0B3C">
        <w:rPr>
          <w:rFonts w:ascii="Verdana" w:eastAsia="Times New Roman" w:hAnsi="Verdana" w:cs="Times New Roman"/>
          <w:b/>
          <w:color w:val="000000"/>
          <w:sz w:val="20"/>
          <w:szCs w:val="20"/>
        </w:rPr>
        <w:t>Extent:</w:t>
      </w:r>
      <w:r w:rsidRPr="00BE0B3C">
        <w:rPr>
          <w:rFonts w:ascii="Verdana" w:eastAsia="Times New Roman" w:hAnsi="Verdana" w:cs="Times New Roman"/>
          <w:color w:val="000000"/>
          <w:sz w:val="20"/>
          <w:szCs w:val="20"/>
        </w:rPr>
        <w:t xml:space="preserve"> Collecting and observations often take place in an area described collectively by a single locality (e.g., within 1 km of the place described in the recorded locality). Without a measure of the potential deviation from the point provided, a user of the data usually has no way to know how specific the locality actually is. The extent is a simple way to alert the user that, for example, all of the specimens I say I collected at the coordinates I recorded were actually up to 0.5 miles from that point. It can be quite helpful at times to include in your field notes a large-scale map of the local vicinity for each locality, marking the area in which the collecting and observations occurred.</w:t>
      </w:r>
    </w:p>
    <w:p w:rsidR="00BE0B3C" w:rsidRPr="00BE0B3C" w:rsidRDefault="00BE0B3C" w:rsidP="00644A4C">
      <w:pPr>
        <w:spacing w:after="0" w:line="240" w:lineRule="auto"/>
        <w:rPr>
          <w:rFonts w:ascii="Times New Roman" w:eastAsia="Times New Roman" w:hAnsi="Times New Roman" w:cs="Times New Roman"/>
          <w:sz w:val="20"/>
          <w:szCs w:val="20"/>
        </w:rPr>
      </w:pPr>
    </w:p>
    <w:p w:rsidR="00BE0B3C" w:rsidRPr="00BE0B3C" w:rsidRDefault="00BE0B3C" w:rsidP="00644A4C">
      <w:pPr>
        <w:spacing w:before="100" w:beforeAutospacing="1" w:after="100" w:afterAutospacing="1" w:line="240" w:lineRule="auto"/>
        <w:ind w:right="720"/>
        <w:rPr>
          <w:rFonts w:ascii="Verdana" w:eastAsia="Arial Unicode MS" w:hAnsi="Verdana" w:cs="Times New Roman"/>
          <w:b/>
          <w:sz w:val="20"/>
          <w:szCs w:val="20"/>
        </w:rPr>
      </w:pPr>
      <w:r w:rsidRPr="00BE0B3C">
        <w:rPr>
          <w:rFonts w:ascii="Verdana" w:eastAsia="Arial Unicode MS" w:hAnsi="Verdana" w:cs="Times New Roman"/>
          <w:b/>
          <w:sz w:val="20"/>
          <w:szCs w:val="20"/>
        </w:rPr>
        <w:t>Examples of Good and Bad Localities</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sz w:val="20"/>
          <w:szCs w:val="20"/>
        </w:rPr>
        <w:t>Vague Localities</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sz w:val="20"/>
          <w:szCs w:val="20"/>
        </w:rPr>
        <w:t>These are localities that give a large area without more specific detail.</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Sacramento River Delta - an extremely large geographic area</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BETTER:</w:t>
      </w:r>
      <w:r w:rsidRPr="00BE0B3C">
        <w:rPr>
          <w:rFonts w:ascii="Verdana" w:eastAsia="Arial Unicode MS" w:hAnsi="Verdana" w:cs="Times New Roman"/>
          <w:sz w:val="20"/>
          <w:szCs w:val="20"/>
        </w:rPr>
        <w:t xml:space="preserve"> Locke, Sacramento River Delta, Sacramento Co., California - names a town within the Delta</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3 mi W of San Jose/Cartago border - without additional details, this would mean anywhere 3 mi W of the border</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GOOD:</w:t>
      </w:r>
      <w:r w:rsidRPr="00BE0B3C">
        <w:rPr>
          <w:rFonts w:ascii="Verdana" w:eastAsia="Arial Unicode MS" w:hAnsi="Verdana" w:cs="Times New Roman"/>
          <w:sz w:val="20"/>
          <w:szCs w:val="20"/>
        </w:rPr>
        <w:t xml:space="preserve"> 3 mi W of San Jose/Cartago border on Highway 2, San Jose Province, Costa Rica</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Pond along Chattahoochee River, Fulton Co., Georgia – there are millions of ponds along the Chattahoochee River</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GOOD:</w:t>
      </w:r>
      <w:r w:rsidRPr="00BE0B3C">
        <w:rPr>
          <w:rFonts w:ascii="Verdana" w:eastAsia="Arial Unicode MS" w:hAnsi="Verdana" w:cs="Times New Roman"/>
          <w:sz w:val="20"/>
          <w:szCs w:val="20"/>
        </w:rPr>
        <w:t xml:space="preserve"> Pond, 0.43 mi SW of intersection of Nancy and Ridgewood Roads, Chattahoochee River National Recreation Area, Fulton Co., Georgia</w:t>
      </w:r>
    </w:p>
    <w:p w:rsidR="00644A4C" w:rsidRDefault="00644A4C" w:rsidP="00644A4C">
      <w:pPr>
        <w:spacing w:before="100" w:beforeAutospacing="1" w:after="100" w:afterAutospacing="1" w:line="240" w:lineRule="auto"/>
        <w:ind w:right="720"/>
        <w:rPr>
          <w:rFonts w:ascii="Verdana" w:eastAsia="Arial Unicode MS" w:hAnsi="Verdana" w:cs="Times New Roman"/>
          <w:b/>
          <w:sz w:val="20"/>
          <w:szCs w:val="20"/>
        </w:rPr>
      </w:pP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sz w:val="20"/>
          <w:szCs w:val="20"/>
        </w:rPr>
        <w:t>Names of Roads without additional points of reference</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Highway 9, Alajuela Province, Costa Rica </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GOOD:</w:t>
      </w:r>
      <w:r w:rsidRPr="00BE0B3C">
        <w:rPr>
          <w:rFonts w:ascii="Verdana" w:eastAsia="Arial Unicode MS" w:hAnsi="Verdana" w:cs="Times New Roman"/>
          <w:sz w:val="20"/>
          <w:szCs w:val="20"/>
        </w:rPr>
        <w:t xml:space="preserve"> Intersection of Hwy 9 and Rio Cariblanco, Cariblanco (town), Alajuela Province, Costa Rica </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sz w:val="20"/>
          <w:szCs w:val="20"/>
        </w:rPr>
        <w:t>Directions given with no distances, road or air miles noted:</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S Berkeley, Alameda County, California</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GOOD:</w:t>
      </w:r>
      <w:r w:rsidRPr="00BE0B3C">
        <w:rPr>
          <w:rFonts w:ascii="Verdana" w:eastAsia="Arial Unicode MS" w:hAnsi="Verdana" w:cs="Times New Roman"/>
          <w:sz w:val="20"/>
          <w:szCs w:val="20"/>
        </w:rPr>
        <w:t xml:space="preserve"> Oakland, 1 mi S Berkeley on Telegraph Ave. (1 mi S of intersection of 66th St and Telegraph Ave), Alameda Co., California</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sz w:val="20"/>
          <w:szCs w:val="20"/>
        </w:rPr>
        <w:t>Localities that are difficult to Georeference</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sz w:val="20"/>
          <w:szCs w:val="20"/>
        </w:rPr>
        <w:t xml:space="preserve">For many countries, especially Spanish-speaking ones, there are oftentimes several cities with the same name in the same province. </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San Marcos, Intibuca Province, Honduras - There are at least five San Marcos in Intibuca Province</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BETTER:</w:t>
      </w:r>
      <w:r w:rsidRPr="00BE0B3C">
        <w:rPr>
          <w:rFonts w:ascii="Verdana" w:eastAsia="Arial Unicode MS" w:hAnsi="Verdana" w:cs="Times New Roman"/>
          <w:sz w:val="20"/>
          <w:szCs w:val="20"/>
        </w:rPr>
        <w:t xml:space="preserve"> San Marcos, ca 7.5 km south of Los Chaguites, Intibuca Province, Honduras</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sz w:val="20"/>
          <w:szCs w:val="20"/>
        </w:rPr>
        <w:t>If there is both a city and a geographic feature that share the same name, then note which locality (city, mountain, creek, lake) you meant.</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Battle Mountain, Lander Co., Nevada</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BETTER:</w:t>
      </w:r>
      <w:r w:rsidRPr="00BE0B3C">
        <w:rPr>
          <w:rFonts w:ascii="Verdana" w:eastAsia="Arial Unicode MS" w:hAnsi="Verdana" w:cs="Times New Roman"/>
          <w:sz w:val="20"/>
          <w:szCs w:val="20"/>
        </w:rPr>
        <w:t xml:space="preserve"> Battle Mountain (city), Lander Co., Nevada</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sz w:val="20"/>
          <w:szCs w:val="20"/>
        </w:rPr>
        <w:t>Highway mi/km markers are very difficult to georeference retrospectively unless additional information is given.</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BAD:</w:t>
      </w:r>
      <w:r w:rsidRPr="00BE0B3C">
        <w:rPr>
          <w:rFonts w:ascii="Verdana" w:eastAsia="Arial Unicode MS" w:hAnsi="Verdana" w:cs="Times New Roman"/>
          <w:sz w:val="20"/>
          <w:szCs w:val="20"/>
        </w:rPr>
        <w:t xml:space="preserve"> Km 58 Pan American Highway</w:t>
      </w:r>
      <w:r w:rsidRPr="00BE0B3C">
        <w:rPr>
          <w:rFonts w:ascii="Verdana" w:eastAsia="Arial Unicode MS" w:hAnsi="Verdana" w:cs="Times New Roman"/>
          <w:sz w:val="20"/>
          <w:szCs w:val="20"/>
        </w:rPr>
        <w:br/>
      </w:r>
      <w:r w:rsidRPr="00BE0B3C">
        <w:rPr>
          <w:rFonts w:ascii="Verdana" w:eastAsia="Arial Unicode MS" w:hAnsi="Verdana" w:cs="Times New Roman"/>
          <w:b/>
          <w:color w:val="990099"/>
          <w:sz w:val="20"/>
          <w:szCs w:val="20"/>
        </w:rPr>
        <w:t xml:space="preserve">GOOD: </w:t>
      </w:r>
      <w:r w:rsidRPr="00BE0B3C">
        <w:rPr>
          <w:rFonts w:ascii="Verdana" w:eastAsia="Arial Unicode MS" w:hAnsi="Verdana" w:cs="Times New Roman"/>
          <w:sz w:val="20"/>
          <w:szCs w:val="20"/>
        </w:rPr>
        <w:t>Km 58 Pan American Highway, 6 km S of Cartago on Pan American Highway, Cartago Province, Costa Rica</w:t>
      </w:r>
    </w:p>
    <w:p w:rsidR="00BE0B3C" w:rsidRPr="00BE0B3C" w:rsidRDefault="00BE0B3C" w:rsidP="00644A4C">
      <w:pPr>
        <w:spacing w:before="100" w:beforeAutospacing="1" w:after="100" w:afterAutospacing="1" w:line="240" w:lineRule="auto"/>
        <w:ind w:right="720"/>
        <w:rPr>
          <w:rFonts w:ascii="Verdana" w:eastAsia="Arial Unicode MS" w:hAnsi="Verdana" w:cs="Times New Roman"/>
          <w:sz w:val="20"/>
          <w:szCs w:val="20"/>
        </w:rPr>
      </w:pPr>
      <w:r w:rsidRPr="00BE0B3C">
        <w:rPr>
          <w:rFonts w:ascii="Verdana" w:eastAsia="Arial Unicode MS" w:hAnsi="Verdana" w:cs="Times New Roman"/>
          <w:b/>
          <w:sz w:val="20"/>
          <w:szCs w:val="20"/>
        </w:rPr>
        <w:t>Things to watch out for</w:t>
      </w:r>
    </w:p>
    <w:p w:rsidR="00644A4C" w:rsidRPr="00644A4C" w:rsidRDefault="00BE0B3C" w:rsidP="00644A4C">
      <w:pPr>
        <w:pStyle w:val="ListParagraph"/>
        <w:numPr>
          <w:ilvl w:val="0"/>
          <w:numId w:val="2"/>
        </w:numPr>
        <w:spacing w:before="100" w:beforeAutospacing="1" w:after="100" w:afterAutospacing="1" w:line="240" w:lineRule="auto"/>
        <w:ind w:right="720"/>
        <w:rPr>
          <w:rFonts w:ascii="Times" w:eastAsia="Arial Unicode MS" w:hAnsi="Times" w:cs="Times New Roman"/>
          <w:sz w:val="20"/>
          <w:szCs w:val="20"/>
        </w:rPr>
      </w:pPr>
      <w:r w:rsidRPr="00644A4C">
        <w:rPr>
          <w:rFonts w:ascii="Verdana" w:eastAsia="Arial Unicode MS" w:hAnsi="Verdana" w:cs="Times New Roman"/>
          <w:sz w:val="20"/>
          <w:szCs w:val="20"/>
        </w:rPr>
        <w:t xml:space="preserve">Crossing County/State/Country lines while collecting - make sure to use the correct names and specify clearly if using a town in a different county/state for an offset, e.g., 10 mi below Ehrenberg (La Paz Co, Arizona) on the Colorado </w:t>
      </w:r>
      <w:r w:rsidR="00644A4C">
        <w:rPr>
          <w:rFonts w:ascii="Verdana" w:eastAsia="Arial Unicode MS" w:hAnsi="Verdana" w:cs="Times New Roman"/>
          <w:sz w:val="20"/>
          <w:szCs w:val="20"/>
        </w:rPr>
        <w:t>River, Imperial Co, California</w:t>
      </w:r>
    </w:p>
    <w:p w:rsidR="00644A4C" w:rsidRPr="00644A4C" w:rsidRDefault="00BE0B3C" w:rsidP="00644A4C">
      <w:pPr>
        <w:pStyle w:val="ListParagraph"/>
        <w:numPr>
          <w:ilvl w:val="0"/>
          <w:numId w:val="2"/>
        </w:numPr>
        <w:spacing w:before="100" w:beforeAutospacing="1" w:after="100" w:afterAutospacing="1" w:line="240" w:lineRule="auto"/>
        <w:ind w:right="720"/>
        <w:rPr>
          <w:rFonts w:ascii="Times" w:eastAsia="Arial Unicode MS" w:hAnsi="Times" w:cs="Times New Roman"/>
          <w:sz w:val="20"/>
          <w:szCs w:val="20"/>
        </w:rPr>
      </w:pPr>
      <w:r w:rsidRPr="00644A4C">
        <w:rPr>
          <w:rFonts w:ascii="Verdana" w:eastAsia="Arial Unicode MS" w:hAnsi="Verdana" w:cs="Times New Roman"/>
          <w:sz w:val="20"/>
          <w:szCs w:val="20"/>
        </w:rPr>
        <w:t xml:space="preserve">Spelling of Foreign Localities - while a misplaced letter in a familiar name is easily corrected, for example "Berkely" instead of "Berkeley," a misspelling in any other language can cause confusion. </w:t>
      </w:r>
      <w:r w:rsidRPr="00644A4C">
        <w:rPr>
          <w:rFonts w:ascii="Verdana" w:eastAsia="Arial Unicode MS" w:hAnsi="Verdana" w:cs="Times New Roman"/>
          <w:sz w:val="20"/>
          <w:szCs w:val="20"/>
        </w:rPr>
        <w:br/>
        <w:t>e.g. Turrubares instead of Turrucares, Barra Blanca instead of Vara Blanca</w:t>
      </w:r>
    </w:p>
    <w:p w:rsidR="00BE0B3C" w:rsidRPr="00644A4C" w:rsidRDefault="00BE0B3C" w:rsidP="00644A4C">
      <w:pPr>
        <w:pStyle w:val="ListParagraph"/>
        <w:numPr>
          <w:ilvl w:val="0"/>
          <w:numId w:val="2"/>
        </w:numPr>
        <w:tabs>
          <w:tab w:val="num" w:pos="2160"/>
        </w:tabs>
        <w:spacing w:before="100" w:beforeAutospacing="1" w:after="100" w:afterAutospacing="1" w:line="240" w:lineRule="auto"/>
        <w:ind w:right="720"/>
        <w:rPr>
          <w:rFonts w:ascii="Times" w:eastAsia="Arial Unicode MS" w:hAnsi="Times" w:cs="Times New Roman"/>
          <w:sz w:val="20"/>
          <w:szCs w:val="20"/>
        </w:rPr>
      </w:pPr>
      <w:r w:rsidRPr="00644A4C">
        <w:rPr>
          <w:rFonts w:ascii="Verdana" w:eastAsia="Arial Unicode MS" w:hAnsi="Verdana" w:cs="Times New Roman"/>
          <w:sz w:val="20"/>
          <w:szCs w:val="20"/>
        </w:rPr>
        <w:t xml:space="preserve">Due to the nature of the georeferencing guidelines, localities that are simply given as a city name are georeferenced as the center of the city. If the </w:t>
      </w:r>
      <w:r w:rsidRPr="00644A4C">
        <w:rPr>
          <w:rFonts w:ascii="Verdana" w:eastAsia="Arial Unicode MS" w:hAnsi="Verdana" w:cs="Times New Roman"/>
          <w:sz w:val="20"/>
          <w:szCs w:val="20"/>
        </w:rPr>
        <w:br/>
        <w:t>specimen is collected on the outskirts of the city, then it must be noted as such. Specifying an exact intersection is best.</w:t>
      </w:r>
    </w:p>
    <w:p w:rsidR="00BE0B3C" w:rsidRPr="00120817" w:rsidRDefault="00B803E6" w:rsidP="00644A4C">
      <w:pPr>
        <w:pStyle w:val="NoSpacing"/>
        <w:rPr>
          <w:sz w:val="18"/>
          <w:szCs w:val="18"/>
        </w:rPr>
      </w:pPr>
      <w:r>
        <w:rPr>
          <w:color w:val="000000"/>
        </w:rPr>
        <w:t>Juran, J.M. 1964. Managerial Break</w:t>
      </w:r>
      <w:r>
        <w:t xml:space="preserve">through. </w:t>
      </w:r>
      <w:smartTag w:uri="urn:schemas-microsoft-com:office:smarttags" w:element="State">
        <w:smartTag w:uri="urn:schemas-microsoft-com:office:smarttags" w:element="place">
          <w:r>
            <w:t>New York</w:t>
          </w:r>
        </w:smartTag>
      </w:smartTag>
      <w:r>
        <w:t>. McGraw-Hill.</w:t>
      </w:r>
      <w:bookmarkStart w:id="0" w:name="_GoBack"/>
      <w:bookmarkEnd w:id="0"/>
    </w:p>
    <w:sectPr w:rsidR="00BE0B3C" w:rsidRPr="00120817" w:rsidSect="00212B4E">
      <w:pgSz w:w="12240" w:h="15840"/>
      <w:pgMar w:top="72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A4E1C"/>
    <w:multiLevelType w:val="hybridMultilevel"/>
    <w:tmpl w:val="99F4A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637A6"/>
    <w:multiLevelType w:val="hybridMultilevel"/>
    <w:tmpl w:val="4CAE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AC048D"/>
    <w:multiLevelType w:val="hybridMultilevel"/>
    <w:tmpl w:val="64128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FA"/>
    <w:rsid w:val="000728AA"/>
    <w:rsid w:val="00086570"/>
    <w:rsid w:val="00120817"/>
    <w:rsid w:val="00176BD4"/>
    <w:rsid w:val="001D0049"/>
    <w:rsid w:val="002065FF"/>
    <w:rsid w:val="00212B4E"/>
    <w:rsid w:val="003F4194"/>
    <w:rsid w:val="004331D7"/>
    <w:rsid w:val="0048195B"/>
    <w:rsid w:val="004A5060"/>
    <w:rsid w:val="00511A2A"/>
    <w:rsid w:val="00526AEC"/>
    <w:rsid w:val="00573BBC"/>
    <w:rsid w:val="00644A4C"/>
    <w:rsid w:val="006C6BB5"/>
    <w:rsid w:val="007152E5"/>
    <w:rsid w:val="007A3602"/>
    <w:rsid w:val="00840A53"/>
    <w:rsid w:val="008C4E85"/>
    <w:rsid w:val="0095430D"/>
    <w:rsid w:val="009631E9"/>
    <w:rsid w:val="009E2A70"/>
    <w:rsid w:val="00A6514A"/>
    <w:rsid w:val="00B21985"/>
    <w:rsid w:val="00B803E6"/>
    <w:rsid w:val="00BE0B3C"/>
    <w:rsid w:val="00CC4BE1"/>
    <w:rsid w:val="00D515FA"/>
    <w:rsid w:val="00E1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60AE723-95DC-4ED7-A4DC-78FF735C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1D7"/>
    <w:rPr>
      <w:color w:val="0563C1" w:themeColor="hyperlink"/>
      <w:u w:val="single"/>
    </w:rPr>
  </w:style>
  <w:style w:type="paragraph" w:styleId="NoSpacing">
    <w:name w:val="No Spacing"/>
    <w:uiPriority w:val="1"/>
    <w:qFormat/>
    <w:rsid w:val="004331D7"/>
    <w:pPr>
      <w:spacing w:after="0" w:line="240" w:lineRule="auto"/>
    </w:pPr>
  </w:style>
  <w:style w:type="paragraph" w:styleId="Quote">
    <w:name w:val="Quote"/>
    <w:basedOn w:val="Normal"/>
    <w:next w:val="Normal"/>
    <w:link w:val="QuoteChar"/>
    <w:uiPriority w:val="29"/>
    <w:qFormat/>
    <w:rsid w:val="008C4E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4E85"/>
    <w:rPr>
      <w:i/>
      <w:iCs/>
      <w:color w:val="404040" w:themeColor="text1" w:themeTint="BF"/>
    </w:rPr>
  </w:style>
  <w:style w:type="paragraph" w:styleId="BalloonText">
    <w:name w:val="Balloon Text"/>
    <w:basedOn w:val="Normal"/>
    <w:link w:val="BalloonTextChar"/>
    <w:uiPriority w:val="99"/>
    <w:semiHidden/>
    <w:unhideWhenUsed/>
    <w:rsid w:val="00BE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B3C"/>
    <w:rPr>
      <w:rFonts w:ascii="Segoe UI" w:hAnsi="Segoe UI" w:cs="Segoe UI"/>
      <w:sz w:val="18"/>
      <w:szCs w:val="18"/>
    </w:rPr>
  </w:style>
  <w:style w:type="paragraph" w:styleId="ListParagraph">
    <w:name w:val="List Paragraph"/>
    <w:basedOn w:val="Normal"/>
    <w:uiPriority w:val="34"/>
    <w:qFormat/>
    <w:rsid w:val="00644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9116">
      <w:bodyDiv w:val="1"/>
      <w:marLeft w:val="0"/>
      <w:marRight w:val="0"/>
      <w:marTop w:val="0"/>
      <w:marBottom w:val="0"/>
      <w:divBdr>
        <w:top w:val="none" w:sz="0" w:space="0" w:color="auto"/>
        <w:left w:val="none" w:sz="0" w:space="0" w:color="auto"/>
        <w:bottom w:val="none" w:sz="0" w:space="0" w:color="auto"/>
        <w:right w:val="none" w:sz="0" w:space="0" w:color="auto"/>
      </w:divBdr>
    </w:div>
    <w:div w:id="881984842">
      <w:bodyDiv w:val="1"/>
      <w:marLeft w:val="0"/>
      <w:marRight w:val="0"/>
      <w:marTop w:val="0"/>
      <w:marBottom w:val="0"/>
      <w:divBdr>
        <w:top w:val="none" w:sz="0" w:space="0" w:color="auto"/>
        <w:left w:val="none" w:sz="0" w:space="0" w:color="auto"/>
        <w:bottom w:val="none" w:sz="0" w:space="0" w:color="auto"/>
        <w:right w:val="none" w:sz="0" w:space="0" w:color="auto"/>
      </w:divBdr>
      <w:divsChild>
        <w:div w:id="692146301">
          <w:marLeft w:val="0"/>
          <w:marRight w:val="0"/>
          <w:marTop w:val="240"/>
          <w:marBottom w:val="120"/>
          <w:divBdr>
            <w:top w:val="none" w:sz="0" w:space="0" w:color="auto"/>
            <w:left w:val="none" w:sz="0" w:space="0" w:color="auto"/>
            <w:bottom w:val="none" w:sz="0" w:space="0" w:color="auto"/>
            <w:right w:val="none" w:sz="0" w:space="0" w:color="auto"/>
          </w:divBdr>
        </w:div>
        <w:div w:id="1571765439">
          <w:marLeft w:val="0"/>
          <w:marRight w:val="0"/>
          <w:marTop w:val="360"/>
          <w:marBottom w:val="120"/>
          <w:divBdr>
            <w:top w:val="none" w:sz="0" w:space="0" w:color="auto"/>
            <w:left w:val="none" w:sz="0" w:space="0" w:color="auto"/>
            <w:bottom w:val="none" w:sz="0" w:space="0" w:color="auto"/>
            <w:right w:val="none" w:sz="0" w:space="0" w:color="auto"/>
          </w:divBdr>
        </w:div>
        <w:div w:id="123547741">
          <w:marLeft w:val="0"/>
          <w:marRight w:val="0"/>
          <w:marTop w:val="168"/>
          <w:marBottom w:val="0"/>
          <w:divBdr>
            <w:top w:val="none" w:sz="0" w:space="0" w:color="auto"/>
            <w:left w:val="none" w:sz="0" w:space="0" w:color="auto"/>
            <w:bottom w:val="none" w:sz="0" w:space="0" w:color="auto"/>
            <w:right w:val="none" w:sz="0" w:space="0" w:color="auto"/>
          </w:divBdr>
        </w:div>
        <w:div w:id="1808887712">
          <w:marLeft w:val="480"/>
          <w:marRight w:val="0"/>
          <w:marTop w:val="0"/>
          <w:marBottom w:val="0"/>
          <w:divBdr>
            <w:top w:val="none" w:sz="0" w:space="0" w:color="auto"/>
            <w:left w:val="none" w:sz="0" w:space="0" w:color="auto"/>
            <w:bottom w:val="none" w:sz="0" w:space="0" w:color="auto"/>
            <w:right w:val="none" w:sz="0" w:space="0" w:color="auto"/>
          </w:divBdr>
        </w:div>
        <w:div w:id="2044397656">
          <w:marLeft w:val="480"/>
          <w:marRight w:val="0"/>
          <w:marTop w:val="0"/>
          <w:marBottom w:val="0"/>
          <w:divBdr>
            <w:top w:val="none" w:sz="0" w:space="0" w:color="auto"/>
            <w:left w:val="none" w:sz="0" w:space="0" w:color="auto"/>
            <w:bottom w:val="none" w:sz="0" w:space="0" w:color="auto"/>
            <w:right w:val="none" w:sz="0" w:space="0" w:color="auto"/>
          </w:divBdr>
        </w:div>
        <w:div w:id="544291966">
          <w:marLeft w:val="0"/>
          <w:marRight w:val="0"/>
          <w:marTop w:val="168"/>
          <w:marBottom w:val="0"/>
          <w:divBdr>
            <w:top w:val="none" w:sz="0" w:space="0" w:color="auto"/>
            <w:left w:val="none" w:sz="0" w:space="0" w:color="auto"/>
            <w:bottom w:val="none" w:sz="0" w:space="0" w:color="auto"/>
            <w:right w:val="none" w:sz="0" w:space="0" w:color="auto"/>
          </w:divBdr>
        </w:div>
        <w:div w:id="1298418610">
          <w:marLeft w:val="480"/>
          <w:marRight w:val="0"/>
          <w:marTop w:val="0"/>
          <w:marBottom w:val="0"/>
          <w:divBdr>
            <w:top w:val="none" w:sz="0" w:space="0" w:color="auto"/>
            <w:left w:val="none" w:sz="0" w:space="0" w:color="auto"/>
            <w:bottom w:val="none" w:sz="0" w:space="0" w:color="auto"/>
            <w:right w:val="none" w:sz="0" w:space="0" w:color="auto"/>
          </w:divBdr>
        </w:div>
        <w:div w:id="438062505">
          <w:marLeft w:val="480"/>
          <w:marRight w:val="0"/>
          <w:marTop w:val="0"/>
          <w:marBottom w:val="0"/>
          <w:divBdr>
            <w:top w:val="none" w:sz="0" w:space="0" w:color="auto"/>
            <w:left w:val="none" w:sz="0" w:space="0" w:color="auto"/>
            <w:bottom w:val="none" w:sz="0" w:space="0" w:color="auto"/>
            <w:right w:val="none" w:sz="0" w:space="0" w:color="auto"/>
          </w:divBdr>
        </w:div>
        <w:div w:id="1990668448">
          <w:marLeft w:val="0"/>
          <w:marRight w:val="0"/>
          <w:marTop w:val="168"/>
          <w:marBottom w:val="0"/>
          <w:divBdr>
            <w:top w:val="none" w:sz="0" w:space="0" w:color="auto"/>
            <w:left w:val="none" w:sz="0" w:space="0" w:color="auto"/>
            <w:bottom w:val="none" w:sz="0" w:space="0" w:color="auto"/>
            <w:right w:val="none" w:sz="0" w:space="0" w:color="auto"/>
          </w:divBdr>
        </w:div>
        <w:div w:id="2145928698">
          <w:marLeft w:val="480"/>
          <w:marRight w:val="0"/>
          <w:marTop w:val="0"/>
          <w:marBottom w:val="0"/>
          <w:divBdr>
            <w:top w:val="none" w:sz="0" w:space="0" w:color="auto"/>
            <w:left w:val="none" w:sz="0" w:space="0" w:color="auto"/>
            <w:bottom w:val="none" w:sz="0" w:space="0" w:color="auto"/>
            <w:right w:val="none" w:sz="0" w:space="0" w:color="auto"/>
          </w:divBdr>
        </w:div>
        <w:div w:id="866333358">
          <w:marLeft w:val="480"/>
          <w:marRight w:val="0"/>
          <w:marTop w:val="0"/>
          <w:marBottom w:val="0"/>
          <w:divBdr>
            <w:top w:val="none" w:sz="0" w:space="0" w:color="auto"/>
            <w:left w:val="none" w:sz="0" w:space="0" w:color="auto"/>
            <w:bottom w:val="none" w:sz="0" w:space="0" w:color="auto"/>
            <w:right w:val="none" w:sz="0" w:space="0" w:color="auto"/>
          </w:divBdr>
        </w:div>
        <w:div w:id="1511410234">
          <w:marLeft w:val="0"/>
          <w:marRight w:val="0"/>
          <w:marTop w:val="168"/>
          <w:marBottom w:val="0"/>
          <w:divBdr>
            <w:top w:val="none" w:sz="0" w:space="0" w:color="auto"/>
            <w:left w:val="none" w:sz="0" w:space="0" w:color="auto"/>
            <w:bottom w:val="none" w:sz="0" w:space="0" w:color="auto"/>
            <w:right w:val="none" w:sz="0" w:space="0" w:color="auto"/>
          </w:divBdr>
        </w:div>
        <w:div w:id="844708278">
          <w:marLeft w:val="480"/>
          <w:marRight w:val="0"/>
          <w:marTop w:val="0"/>
          <w:marBottom w:val="0"/>
          <w:divBdr>
            <w:top w:val="none" w:sz="0" w:space="0" w:color="auto"/>
            <w:left w:val="none" w:sz="0" w:space="0" w:color="auto"/>
            <w:bottom w:val="none" w:sz="0" w:space="0" w:color="auto"/>
            <w:right w:val="none" w:sz="0" w:space="0" w:color="auto"/>
          </w:divBdr>
        </w:div>
        <w:div w:id="514420832">
          <w:marLeft w:val="480"/>
          <w:marRight w:val="0"/>
          <w:marTop w:val="0"/>
          <w:marBottom w:val="0"/>
          <w:divBdr>
            <w:top w:val="none" w:sz="0" w:space="0" w:color="auto"/>
            <w:left w:val="none" w:sz="0" w:space="0" w:color="auto"/>
            <w:bottom w:val="none" w:sz="0" w:space="0" w:color="auto"/>
            <w:right w:val="none" w:sz="0" w:space="0" w:color="auto"/>
          </w:divBdr>
        </w:div>
        <w:div w:id="958685175">
          <w:marLeft w:val="0"/>
          <w:marRight w:val="0"/>
          <w:marTop w:val="168"/>
          <w:marBottom w:val="0"/>
          <w:divBdr>
            <w:top w:val="none" w:sz="0" w:space="0" w:color="auto"/>
            <w:left w:val="none" w:sz="0" w:space="0" w:color="auto"/>
            <w:bottom w:val="none" w:sz="0" w:space="0" w:color="auto"/>
            <w:right w:val="none" w:sz="0" w:space="0" w:color="auto"/>
          </w:divBdr>
        </w:div>
        <w:div w:id="794106480">
          <w:marLeft w:val="480"/>
          <w:marRight w:val="0"/>
          <w:marTop w:val="0"/>
          <w:marBottom w:val="0"/>
          <w:divBdr>
            <w:top w:val="none" w:sz="0" w:space="0" w:color="auto"/>
            <w:left w:val="none" w:sz="0" w:space="0" w:color="auto"/>
            <w:bottom w:val="none" w:sz="0" w:space="0" w:color="auto"/>
            <w:right w:val="none" w:sz="0" w:space="0" w:color="auto"/>
          </w:divBdr>
        </w:div>
        <w:div w:id="1517381158">
          <w:marLeft w:val="480"/>
          <w:marRight w:val="0"/>
          <w:marTop w:val="0"/>
          <w:marBottom w:val="0"/>
          <w:divBdr>
            <w:top w:val="none" w:sz="0" w:space="0" w:color="auto"/>
            <w:left w:val="none" w:sz="0" w:space="0" w:color="auto"/>
            <w:bottom w:val="none" w:sz="0" w:space="0" w:color="auto"/>
            <w:right w:val="none" w:sz="0" w:space="0" w:color="auto"/>
          </w:divBdr>
        </w:div>
        <w:div w:id="1844585398">
          <w:marLeft w:val="0"/>
          <w:marRight w:val="0"/>
          <w:marTop w:val="168"/>
          <w:marBottom w:val="0"/>
          <w:divBdr>
            <w:top w:val="none" w:sz="0" w:space="0" w:color="auto"/>
            <w:left w:val="none" w:sz="0" w:space="0" w:color="auto"/>
            <w:bottom w:val="none" w:sz="0" w:space="0" w:color="auto"/>
            <w:right w:val="none" w:sz="0" w:space="0" w:color="auto"/>
          </w:divBdr>
        </w:div>
        <w:div w:id="2122139274">
          <w:marLeft w:val="480"/>
          <w:marRight w:val="0"/>
          <w:marTop w:val="0"/>
          <w:marBottom w:val="0"/>
          <w:divBdr>
            <w:top w:val="none" w:sz="0" w:space="0" w:color="auto"/>
            <w:left w:val="none" w:sz="0" w:space="0" w:color="auto"/>
            <w:bottom w:val="none" w:sz="0" w:space="0" w:color="auto"/>
            <w:right w:val="none" w:sz="0" w:space="0" w:color="auto"/>
          </w:divBdr>
        </w:div>
        <w:div w:id="708916102">
          <w:marLeft w:val="480"/>
          <w:marRight w:val="0"/>
          <w:marTop w:val="0"/>
          <w:marBottom w:val="0"/>
          <w:divBdr>
            <w:top w:val="none" w:sz="0" w:space="0" w:color="auto"/>
            <w:left w:val="none" w:sz="0" w:space="0" w:color="auto"/>
            <w:bottom w:val="none" w:sz="0" w:space="0" w:color="auto"/>
            <w:right w:val="none" w:sz="0" w:space="0" w:color="auto"/>
          </w:divBdr>
        </w:div>
        <w:div w:id="621498550">
          <w:marLeft w:val="0"/>
          <w:marRight w:val="0"/>
          <w:marTop w:val="168"/>
          <w:marBottom w:val="0"/>
          <w:divBdr>
            <w:top w:val="none" w:sz="0" w:space="0" w:color="auto"/>
            <w:left w:val="none" w:sz="0" w:space="0" w:color="auto"/>
            <w:bottom w:val="none" w:sz="0" w:space="0" w:color="auto"/>
            <w:right w:val="none" w:sz="0" w:space="0" w:color="auto"/>
          </w:divBdr>
        </w:div>
        <w:div w:id="2085254288">
          <w:marLeft w:val="480"/>
          <w:marRight w:val="0"/>
          <w:marTop w:val="0"/>
          <w:marBottom w:val="0"/>
          <w:divBdr>
            <w:top w:val="none" w:sz="0" w:space="0" w:color="auto"/>
            <w:left w:val="none" w:sz="0" w:space="0" w:color="auto"/>
            <w:bottom w:val="none" w:sz="0" w:space="0" w:color="auto"/>
            <w:right w:val="none" w:sz="0" w:space="0" w:color="auto"/>
          </w:divBdr>
        </w:div>
        <w:div w:id="1878855141">
          <w:marLeft w:val="480"/>
          <w:marRight w:val="0"/>
          <w:marTop w:val="0"/>
          <w:marBottom w:val="0"/>
          <w:divBdr>
            <w:top w:val="none" w:sz="0" w:space="0" w:color="auto"/>
            <w:left w:val="none" w:sz="0" w:space="0" w:color="auto"/>
            <w:bottom w:val="none" w:sz="0" w:space="0" w:color="auto"/>
            <w:right w:val="none" w:sz="0" w:space="0" w:color="auto"/>
          </w:divBdr>
        </w:div>
        <w:div w:id="684600690">
          <w:marLeft w:val="0"/>
          <w:marRight w:val="0"/>
          <w:marTop w:val="168"/>
          <w:marBottom w:val="0"/>
          <w:divBdr>
            <w:top w:val="none" w:sz="0" w:space="0" w:color="auto"/>
            <w:left w:val="none" w:sz="0" w:space="0" w:color="auto"/>
            <w:bottom w:val="none" w:sz="0" w:space="0" w:color="auto"/>
            <w:right w:val="none" w:sz="0" w:space="0" w:color="auto"/>
          </w:divBdr>
        </w:div>
        <w:div w:id="2013679821">
          <w:marLeft w:val="480"/>
          <w:marRight w:val="0"/>
          <w:marTop w:val="0"/>
          <w:marBottom w:val="0"/>
          <w:divBdr>
            <w:top w:val="none" w:sz="0" w:space="0" w:color="auto"/>
            <w:left w:val="none" w:sz="0" w:space="0" w:color="auto"/>
            <w:bottom w:val="none" w:sz="0" w:space="0" w:color="auto"/>
            <w:right w:val="none" w:sz="0" w:space="0" w:color="auto"/>
          </w:divBdr>
        </w:div>
        <w:div w:id="1947538431">
          <w:marLeft w:val="480"/>
          <w:marRight w:val="0"/>
          <w:marTop w:val="0"/>
          <w:marBottom w:val="0"/>
          <w:divBdr>
            <w:top w:val="none" w:sz="0" w:space="0" w:color="auto"/>
            <w:left w:val="none" w:sz="0" w:space="0" w:color="auto"/>
            <w:bottom w:val="none" w:sz="0" w:space="0" w:color="auto"/>
            <w:right w:val="none" w:sz="0" w:space="0" w:color="auto"/>
          </w:divBdr>
        </w:div>
        <w:div w:id="622807492">
          <w:marLeft w:val="0"/>
          <w:marRight w:val="0"/>
          <w:marTop w:val="168"/>
          <w:marBottom w:val="0"/>
          <w:divBdr>
            <w:top w:val="none" w:sz="0" w:space="0" w:color="auto"/>
            <w:left w:val="none" w:sz="0" w:space="0" w:color="auto"/>
            <w:bottom w:val="none" w:sz="0" w:space="0" w:color="auto"/>
            <w:right w:val="none" w:sz="0" w:space="0" w:color="auto"/>
          </w:divBdr>
        </w:div>
        <w:div w:id="2439273">
          <w:marLeft w:val="480"/>
          <w:marRight w:val="0"/>
          <w:marTop w:val="0"/>
          <w:marBottom w:val="0"/>
          <w:divBdr>
            <w:top w:val="none" w:sz="0" w:space="0" w:color="auto"/>
            <w:left w:val="none" w:sz="0" w:space="0" w:color="auto"/>
            <w:bottom w:val="none" w:sz="0" w:space="0" w:color="auto"/>
            <w:right w:val="none" w:sz="0" w:space="0" w:color="auto"/>
          </w:divBdr>
        </w:div>
        <w:div w:id="810945748">
          <w:marLeft w:val="480"/>
          <w:marRight w:val="0"/>
          <w:marTop w:val="0"/>
          <w:marBottom w:val="0"/>
          <w:divBdr>
            <w:top w:val="none" w:sz="0" w:space="0" w:color="auto"/>
            <w:left w:val="none" w:sz="0" w:space="0" w:color="auto"/>
            <w:bottom w:val="none" w:sz="0" w:space="0" w:color="auto"/>
            <w:right w:val="none" w:sz="0" w:space="0" w:color="auto"/>
          </w:divBdr>
        </w:div>
      </w:divsChild>
    </w:div>
    <w:div w:id="18150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adensys.net/publication/data-publication-gu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nb.ecoinformatics.org/" TargetMode="External"/><Relationship Id="rId12" Type="http://schemas.openxmlformats.org/officeDocument/2006/relationships/hyperlink" Target="http://wiki.bgbm.org/dnabankwiki/index.php/D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terms.tdwg.org/wiki/Audubon_Core" TargetMode="External"/><Relationship Id="rId4" Type="http://schemas.openxmlformats.org/officeDocument/2006/relationships/settings" Target="settings.xml"/><Relationship Id="rId9" Type="http://schemas.openxmlformats.org/officeDocument/2006/relationships/hyperlink" Target="http://rs.tdwg.org/dwc/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0176-D457-4EF8-A724-E87D6D71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Paul</dc:creator>
  <cp:keywords/>
  <dc:description/>
  <cp:lastModifiedBy>Deborah Paul</cp:lastModifiedBy>
  <cp:revision>5</cp:revision>
  <cp:lastPrinted>2015-03-06T23:11:00Z</cp:lastPrinted>
  <dcterms:created xsi:type="dcterms:W3CDTF">2015-03-06T23:47:00Z</dcterms:created>
  <dcterms:modified xsi:type="dcterms:W3CDTF">2015-03-12T13:30:00Z</dcterms:modified>
</cp:coreProperties>
</file>